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insoku w:val="0"/>
        <w:overflowPunct w:val="0"/>
        <w:snapToGrid w:val="0"/>
        <w:spacing w:before="0"/>
        <w:ind w:left="0"/>
        <w:jc w:val="center"/>
        <w:rPr>
          <w:rFonts w:hint="eastAsia"/>
          <w:b/>
          <w:w w:val="95"/>
          <w:sz w:val="32"/>
          <w:szCs w:val="32"/>
        </w:rPr>
      </w:pPr>
      <w:r>
        <w:rPr>
          <w:rFonts w:hint="eastAsia"/>
          <w:b/>
          <w:w w:val="95"/>
          <w:sz w:val="32"/>
          <w:szCs w:val="32"/>
        </w:rPr>
        <w:t xml:space="preserve"> 2023年广东省</w:t>
      </w:r>
      <w:r>
        <w:rPr>
          <w:b/>
          <w:w w:val="95"/>
          <w:sz w:val="32"/>
          <w:szCs w:val="32"/>
        </w:rPr>
        <w:t>大学生工程</w:t>
      </w:r>
      <w:r>
        <w:rPr>
          <w:rFonts w:hint="eastAsia"/>
          <w:b/>
          <w:w w:val="95"/>
          <w:sz w:val="32"/>
          <w:szCs w:val="32"/>
        </w:rPr>
        <w:t>实践与创新能力大赛</w:t>
      </w:r>
    </w:p>
    <w:p>
      <w:pPr>
        <w:pStyle w:val="7"/>
        <w:kinsoku w:val="0"/>
        <w:overflowPunct w:val="0"/>
        <w:snapToGrid w:val="0"/>
        <w:spacing w:before="0"/>
        <w:ind w:left="0"/>
        <w:jc w:val="center"/>
        <w:rPr>
          <w:rFonts w:hint="default" w:eastAsia="宋体"/>
          <w:b/>
          <w:w w:val="95"/>
          <w:sz w:val="32"/>
          <w:szCs w:val="32"/>
          <w:lang w:val="en-US" w:eastAsia="zh-CN"/>
        </w:rPr>
      </w:pPr>
      <w:r>
        <w:rPr>
          <w:rFonts w:hint="eastAsia"/>
          <w:b/>
          <w:w w:val="95"/>
          <w:sz w:val="32"/>
          <w:szCs w:val="32"/>
          <w:lang w:val="en-US" w:eastAsia="zh-CN"/>
        </w:rPr>
        <w:t>广东工业大学选拔赛</w:t>
      </w:r>
    </w:p>
    <w:p>
      <w:pPr>
        <w:pStyle w:val="12"/>
      </w:pPr>
      <w:r>
        <w:rPr>
          <w:rFonts w:hint="eastAsia"/>
        </w:rPr>
        <w:t>虚拟仿真赛道命题与运行</w:t>
      </w: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r>
        <w:rPr>
          <w:rFonts w:hint="eastAsia" w:ascii="宋体" w:hAnsi="宋体" w:eastAsia="宋体"/>
          <w:sz w:val="24"/>
          <w:szCs w:val="24"/>
        </w:rPr>
        <w:t>本赛道由工程场景数字化、企业运营仿真四个赛项组成。</w:t>
      </w:r>
    </w:p>
    <w:p>
      <w:pPr>
        <w:tabs>
          <w:tab w:val="left" w:pos="1080"/>
          <w:tab w:val="center" w:pos="4153"/>
        </w:tabs>
        <w:spacing w:before="78" w:beforeLines="25" w:after="78" w:afterLines="25" w:line="300" w:lineRule="auto"/>
        <w:outlineLvl w:val="2"/>
        <w:rPr>
          <w:rFonts w:ascii="黑体" w:hAnsi="黑体" w:eastAsia="黑体" w:cstheme="minorBidi"/>
          <w:bCs/>
          <w:sz w:val="30"/>
          <w:szCs w:val="30"/>
        </w:rPr>
      </w:pPr>
      <w:r>
        <w:rPr>
          <w:rFonts w:hint="eastAsia" w:ascii="黑体" w:hAnsi="黑体" w:eastAsia="黑体" w:cstheme="minorBidi"/>
          <w:bCs/>
          <w:sz w:val="30"/>
          <w:szCs w:val="30"/>
          <w:lang w:val="en-US" w:eastAsia="zh-CN"/>
        </w:rPr>
        <w:t>一</w:t>
      </w:r>
      <w:r>
        <w:rPr>
          <w:rFonts w:hint="eastAsia" w:ascii="黑体" w:hAnsi="黑体" w:eastAsia="黑体" w:cstheme="minorBidi"/>
          <w:bCs/>
          <w:sz w:val="30"/>
          <w:szCs w:val="30"/>
        </w:rPr>
        <w:t>、工程场景数字化赛项</w:t>
      </w:r>
    </w:p>
    <w:p>
      <w:pPr>
        <w:widowControl/>
        <w:spacing w:line="360" w:lineRule="auto"/>
        <w:ind w:firstLine="420"/>
        <w:rPr>
          <w:rFonts w:ascii="宋体" w:hAnsi="宋体" w:eastAsia="宋体"/>
          <w:sz w:val="24"/>
          <w:szCs w:val="24"/>
        </w:rPr>
      </w:pPr>
      <w:r>
        <w:rPr>
          <w:rFonts w:hint="eastAsia" w:ascii="宋体" w:hAnsi="宋体" w:eastAsia="宋体"/>
          <w:sz w:val="24"/>
          <w:szCs w:val="24"/>
        </w:rPr>
        <w:t>本赛项重点围绕“两化融合”、</w:t>
      </w:r>
      <w:r>
        <w:rPr>
          <w:rFonts w:ascii="宋体" w:hAnsi="宋体" w:eastAsia="宋体"/>
          <w:sz w:val="24"/>
          <w:szCs w:val="24"/>
        </w:rPr>
        <w:t>“数字工匠”、</w:t>
      </w:r>
      <w:r>
        <w:rPr>
          <w:rFonts w:hint="eastAsia" w:ascii="宋体" w:hAnsi="宋体" w:eastAsia="宋体"/>
          <w:sz w:val="24"/>
          <w:szCs w:val="24"/>
        </w:rPr>
        <w:t>“通专融合”，落实新工科建设与跨学科综合能力培养。以“数字经济”下的工程素养与文化相融为发展宗旨，为高校大学生打造工程实践与创新型互动媒体交叉融合的创新平台，</w:t>
      </w:r>
      <w:r>
        <w:rPr>
          <w:rFonts w:ascii="宋体" w:hAnsi="宋体" w:eastAsia="宋体"/>
          <w:sz w:val="24"/>
          <w:szCs w:val="24"/>
        </w:rPr>
        <w:t>展示</w:t>
      </w:r>
      <w:r>
        <w:rPr>
          <w:rFonts w:hint="eastAsia" w:ascii="宋体" w:hAnsi="宋体" w:eastAsia="宋体"/>
          <w:sz w:val="24"/>
          <w:szCs w:val="24"/>
        </w:rPr>
        <w:t>数字媒体形态下的工程创新能力，</w:t>
      </w:r>
      <w:r>
        <w:rPr>
          <w:rFonts w:ascii="宋体" w:hAnsi="宋体" w:eastAsia="宋体"/>
          <w:sz w:val="24"/>
          <w:szCs w:val="24"/>
        </w:rPr>
        <w:t>传播工程知识</w:t>
      </w:r>
      <w:r>
        <w:rPr>
          <w:rFonts w:hint="eastAsia" w:ascii="宋体" w:hAnsi="宋体" w:eastAsia="宋体"/>
          <w:sz w:val="24"/>
          <w:szCs w:val="24"/>
        </w:rPr>
        <w:t>，普及</w:t>
      </w:r>
      <w:r>
        <w:rPr>
          <w:rFonts w:ascii="宋体" w:hAnsi="宋体" w:eastAsia="宋体"/>
          <w:sz w:val="24"/>
          <w:szCs w:val="24"/>
        </w:rPr>
        <w:t>先进技术</w:t>
      </w:r>
      <w:r>
        <w:rPr>
          <w:rFonts w:hint="eastAsia" w:ascii="宋体" w:hAnsi="宋体" w:eastAsia="宋体"/>
          <w:sz w:val="24"/>
          <w:szCs w:val="24"/>
        </w:rPr>
        <w:t>，促进人才发展。</w:t>
      </w:r>
    </w:p>
    <w:p>
      <w:pPr>
        <w:widowControl/>
        <w:spacing w:line="360" w:lineRule="auto"/>
        <w:ind w:firstLine="420"/>
        <w:rPr>
          <w:rFonts w:ascii="宋体" w:hAnsi="宋体" w:eastAsia="宋体"/>
          <w:sz w:val="24"/>
          <w:szCs w:val="24"/>
        </w:rPr>
      </w:pPr>
      <w:r>
        <w:rPr>
          <w:rFonts w:hint="eastAsia" w:ascii="宋体" w:hAnsi="宋体" w:eastAsia="宋体"/>
          <w:sz w:val="24"/>
          <w:szCs w:val="24"/>
        </w:rPr>
        <w:t>本赛项重点考察学生</w:t>
      </w:r>
      <w:r>
        <w:rPr>
          <w:rFonts w:ascii="宋体" w:hAnsi="宋体" w:eastAsia="宋体"/>
          <w:sz w:val="24"/>
          <w:szCs w:val="24"/>
        </w:rPr>
        <w:t>制作与工程相关的虚拟仿真游戏</w:t>
      </w:r>
      <w:r>
        <w:rPr>
          <w:rFonts w:hint="eastAsia" w:ascii="宋体" w:hAnsi="宋体" w:eastAsia="宋体"/>
          <w:sz w:val="24"/>
          <w:szCs w:val="24"/>
        </w:rPr>
        <w:t>的数字媒体工程实践能力，培养学生虚拟工程开发实践能力，及</w:t>
      </w:r>
      <w:r>
        <w:rPr>
          <w:rFonts w:ascii="宋体" w:hAnsi="宋体" w:eastAsia="宋体"/>
          <w:sz w:val="24"/>
          <w:szCs w:val="24"/>
        </w:rPr>
        <w:t>创意及其深度、美术设计等方面的能力</w:t>
      </w:r>
      <w:r>
        <w:rPr>
          <w:rFonts w:hint="eastAsia" w:ascii="宋体" w:hAnsi="宋体" w:eastAsia="宋体"/>
          <w:sz w:val="24"/>
          <w:szCs w:val="24"/>
        </w:rPr>
        <w:t>。</w:t>
      </w:r>
    </w:p>
    <w:p>
      <w:pPr>
        <w:tabs>
          <w:tab w:val="left" w:pos="1080"/>
        </w:tabs>
        <w:spacing w:before="78" w:beforeLines="25" w:after="78" w:afterLines="25" w:line="300" w:lineRule="auto"/>
        <w:outlineLvl w:val="2"/>
        <w:rPr>
          <w:rFonts w:ascii="黑体" w:hAnsi="黑体" w:eastAsia="黑体"/>
          <w:bCs/>
          <w:sz w:val="28"/>
          <w:szCs w:val="28"/>
        </w:rPr>
      </w:pPr>
      <w:bookmarkStart w:id="0" w:name="_Toc76573289"/>
      <w:r>
        <w:rPr>
          <w:rFonts w:ascii="黑体" w:hAnsi="黑体" w:eastAsia="黑体"/>
          <w:bCs/>
          <w:sz w:val="28"/>
          <w:szCs w:val="28"/>
        </w:rPr>
        <w:t>1、</w:t>
      </w:r>
      <w:r>
        <w:rPr>
          <w:rFonts w:hint="eastAsia" w:ascii="黑体" w:hAnsi="黑体" w:eastAsia="黑体"/>
          <w:bCs/>
          <w:sz w:val="28"/>
          <w:szCs w:val="28"/>
        </w:rPr>
        <w:t>对参赛作品</w:t>
      </w:r>
      <w:r>
        <w:rPr>
          <w:rFonts w:ascii="黑体" w:hAnsi="黑体" w:eastAsia="黑体"/>
          <w:bCs/>
          <w:sz w:val="28"/>
          <w:szCs w:val="28"/>
        </w:rPr>
        <w:t>/内容的要求</w:t>
      </w:r>
      <w:bookmarkEnd w:id="0"/>
    </w:p>
    <w:p>
      <w:pPr>
        <w:widowControl/>
        <w:spacing w:line="360" w:lineRule="auto"/>
        <w:ind w:firstLine="420"/>
        <w:rPr>
          <w:rFonts w:ascii="宋体" w:hAnsi="宋体" w:eastAsia="宋体"/>
          <w:sz w:val="24"/>
          <w:szCs w:val="24"/>
        </w:rPr>
      </w:pPr>
      <w:r>
        <w:rPr>
          <w:rFonts w:hint="eastAsia" w:ascii="宋体" w:hAnsi="宋体" w:eastAsia="宋体"/>
          <w:sz w:val="24"/>
          <w:szCs w:val="24"/>
        </w:rPr>
        <w:t>以实际的</w:t>
      </w:r>
      <w:r>
        <w:rPr>
          <w:rFonts w:ascii="宋体" w:hAnsi="宋体" w:eastAsia="宋体"/>
          <w:sz w:val="24"/>
          <w:szCs w:val="24"/>
        </w:rPr>
        <w:t>工程</w:t>
      </w:r>
      <w:r>
        <w:rPr>
          <w:rFonts w:hint="eastAsia" w:ascii="宋体" w:hAnsi="宋体" w:eastAsia="宋体"/>
          <w:sz w:val="24"/>
          <w:szCs w:val="24"/>
        </w:rPr>
        <w:t>为主题，以具有游戏性的数字化交互方式为载体，自主设计并开发一套可供人体验的产品，类型不限。鼓励具有想象力、写实性、前瞻性、独创性、新颖性的跨领域、跨学科作品。</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1）功能要求</w:t>
      </w:r>
    </w:p>
    <w:p>
      <w:pPr>
        <w:widowControl/>
        <w:spacing w:line="360" w:lineRule="auto"/>
        <w:ind w:firstLine="420"/>
        <w:rPr>
          <w:rFonts w:ascii="宋体" w:hAnsi="宋体" w:eastAsia="宋体"/>
          <w:sz w:val="24"/>
          <w:szCs w:val="24"/>
        </w:rPr>
      </w:pPr>
      <w:r>
        <w:rPr>
          <w:rFonts w:hint="eastAsia" w:ascii="宋体" w:hAnsi="宋体" w:eastAsia="宋体"/>
          <w:sz w:val="24"/>
          <w:szCs w:val="24"/>
        </w:rPr>
        <w:t>游戏作品可用休闲游戏、角色扮演等游戏形式，采用</w:t>
      </w:r>
      <w:r>
        <w:rPr>
          <w:rFonts w:ascii="宋体" w:hAnsi="宋体" w:eastAsia="宋体"/>
          <w:sz w:val="24"/>
          <w:szCs w:val="24"/>
        </w:rPr>
        <w:t>Demo</w:t>
      </w:r>
      <w:r>
        <w:rPr>
          <w:rFonts w:hint="eastAsia" w:ascii="宋体" w:hAnsi="宋体" w:eastAsia="宋体"/>
          <w:sz w:val="24"/>
          <w:szCs w:val="24"/>
        </w:rPr>
        <w:t>、幻灯片、</w:t>
      </w:r>
      <w:r>
        <w:rPr>
          <w:rFonts w:ascii="宋体" w:hAnsi="宋体" w:eastAsia="宋体"/>
          <w:sz w:val="24"/>
          <w:szCs w:val="24"/>
        </w:rPr>
        <w:t>视频</w:t>
      </w:r>
      <w:r>
        <w:rPr>
          <w:rFonts w:hint="eastAsia" w:ascii="宋体" w:hAnsi="宋体" w:eastAsia="宋体"/>
          <w:sz w:val="24"/>
          <w:szCs w:val="24"/>
        </w:rPr>
        <w:t>等展示，该作品可在包括但不限于</w:t>
      </w:r>
      <w:r>
        <w:rPr>
          <w:rFonts w:ascii="宋体" w:hAnsi="宋体" w:eastAsia="宋体"/>
          <w:sz w:val="24"/>
          <w:szCs w:val="24"/>
        </w:rPr>
        <w:t>Windows、Mac OS等主机端，iOS、Android等移动端</w:t>
      </w:r>
      <w:r>
        <w:rPr>
          <w:rFonts w:hint="eastAsia" w:ascii="宋体" w:hAnsi="宋体" w:eastAsia="宋体"/>
          <w:sz w:val="24"/>
          <w:szCs w:val="24"/>
        </w:rPr>
        <w:t>，MS</w:t>
      </w:r>
      <w:r>
        <w:rPr>
          <w:rFonts w:ascii="宋体" w:hAnsi="宋体" w:eastAsia="宋体"/>
          <w:sz w:val="24"/>
          <w:szCs w:val="24"/>
        </w:rPr>
        <w:t xml:space="preserve"> </w:t>
      </w:r>
      <w:r>
        <w:rPr>
          <w:rFonts w:hint="eastAsia" w:ascii="宋体" w:hAnsi="宋体" w:eastAsia="宋体"/>
          <w:sz w:val="24"/>
          <w:szCs w:val="24"/>
        </w:rPr>
        <w:t>HoloLens、HTC</w:t>
      </w:r>
      <w:r>
        <w:rPr>
          <w:rFonts w:ascii="宋体" w:hAnsi="宋体" w:eastAsia="宋体"/>
          <w:sz w:val="24"/>
          <w:szCs w:val="24"/>
        </w:rPr>
        <w:t xml:space="preserve"> </w:t>
      </w:r>
      <w:r>
        <w:rPr>
          <w:rFonts w:hint="eastAsia" w:ascii="宋体" w:hAnsi="宋体" w:eastAsia="宋体"/>
          <w:sz w:val="24"/>
          <w:szCs w:val="24"/>
        </w:rPr>
        <w:t>Vive等虚拟现实设备等任何一个或多个平台上运行。</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2）内容要求</w:t>
      </w:r>
    </w:p>
    <w:p>
      <w:pPr>
        <w:widowControl/>
        <w:spacing w:line="360" w:lineRule="auto"/>
        <w:ind w:firstLine="420"/>
        <w:rPr>
          <w:rFonts w:ascii="宋体" w:hAnsi="宋体" w:eastAsia="宋体"/>
          <w:sz w:val="24"/>
          <w:szCs w:val="24"/>
        </w:rPr>
      </w:pPr>
      <w:r>
        <w:rPr>
          <w:rFonts w:hint="eastAsia" w:ascii="宋体" w:hAnsi="宋体" w:eastAsia="宋体"/>
          <w:sz w:val="24"/>
          <w:szCs w:val="24"/>
        </w:rPr>
        <w:t>游戏作品可以体现包括但不限于以下工程知识方面的类目：</w:t>
      </w:r>
    </w:p>
    <w:p>
      <w:pPr>
        <w:widowControl/>
        <w:spacing w:line="360" w:lineRule="auto"/>
        <w:ind w:firstLine="420"/>
        <w:rPr>
          <w:rFonts w:ascii="宋体" w:hAnsi="宋体" w:eastAsia="宋体"/>
          <w:sz w:val="24"/>
          <w:szCs w:val="24"/>
        </w:rPr>
      </w:pPr>
      <w:r>
        <w:rPr>
          <w:rFonts w:hint="eastAsia" w:ascii="宋体" w:hAnsi="宋体" w:eastAsia="宋体"/>
          <w:sz w:val="24"/>
          <w:szCs w:val="24"/>
        </w:rPr>
        <w:t>（1）知识科普：工业史、智能制造、机器人、</w:t>
      </w:r>
      <w:r>
        <w:rPr>
          <w:rFonts w:ascii="宋体" w:hAnsi="宋体" w:eastAsia="宋体"/>
          <w:sz w:val="24"/>
          <w:szCs w:val="24"/>
        </w:rPr>
        <w:t>5G、物联网等工程技术科普类；</w:t>
      </w:r>
    </w:p>
    <w:p>
      <w:pPr>
        <w:widowControl/>
        <w:spacing w:line="360" w:lineRule="auto"/>
        <w:ind w:firstLine="420"/>
        <w:rPr>
          <w:rFonts w:ascii="宋体" w:hAnsi="宋体" w:eastAsia="宋体"/>
          <w:sz w:val="24"/>
          <w:szCs w:val="24"/>
        </w:rPr>
      </w:pPr>
      <w:r>
        <w:rPr>
          <w:rFonts w:hint="eastAsia" w:ascii="宋体" w:hAnsi="宋体" w:eastAsia="宋体"/>
          <w:sz w:val="24"/>
          <w:szCs w:val="24"/>
        </w:rPr>
        <w:t>（2）模拟经营：模拟建造、模拟物流、模拟工厂、模拟车间、智能制造模拟、智能系统模拟</w:t>
      </w:r>
      <w:r>
        <w:rPr>
          <w:rFonts w:ascii="宋体" w:hAnsi="宋体" w:eastAsia="宋体"/>
          <w:sz w:val="24"/>
          <w:szCs w:val="24"/>
        </w:rPr>
        <w:t>等</w:t>
      </w:r>
      <w:r>
        <w:rPr>
          <w:rFonts w:hint="eastAsia" w:ascii="宋体" w:hAnsi="宋体" w:eastAsia="宋体"/>
          <w:sz w:val="24"/>
          <w:szCs w:val="24"/>
        </w:rPr>
        <w:t>模拟经营类；</w:t>
      </w:r>
    </w:p>
    <w:p>
      <w:pPr>
        <w:widowControl/>
        <w:spacing w:line="360" w:lineRule="auto"/>
        <w:ind w:firstLine="420"/>
        <w:rPr>
          <w:rFonts w:ascii="宋体" w:hAnsi="宋体" w:eastAsia="宋体"/>
          <w:sz w:val="24"/>
          <w:szCs w:val="24"/>
        </w:rPr>
      </w:pPr>
      <w:r>
        <w:rPr>
          <w:rFonts w:hint="eastAsia" w:ascii="宋体" w:hAnsi="宋体" w:eastAsia="宋体"/>
          <w:sz w:val="24"/>
          <w:szCs w:val="24"/>
        </w:rPr>
        <w:t>（3）虚拟仿真：加工模拟</w:t>
      </w:r>
      <w:r>
        <w:rPr>
          <w:rFonts w:ascii="宋体" w:hAnsi="宋体" w:eastAsia="宋体"/>
          <w:sz w:val="24"/>
          <w:szCs w:val="24"/>
        </w:rPr>
        <w:t>、</w:t>
      </w:r>
      <w:r>
        <w:rPr>
          <w:rFonts w:hint="eastAsia" w:ascii="宋体" w:hAnsi="宋体" w:eastAsia="宋体"/>
          <w:sz w:val="24"/>
          <w:szCs w:val="24"/>
        </w:rPr>
        <w:t>操作模拟、装配模拟</w:t>
      </w:r>
      <w:r>
        <w:rPr>
          <w:rFonts w:ascii="宋体" w:hAnsi="宋体" w:eastAsia="宋体"/>
          <w:sz w:val="24"/>
          <w:szCs w:val="24"/>
        </w:rPr>
        <w:t>等</w:t>
      </w:r>
      <w:r>
        <w:rPr>
          <w:rFonts w:hint="eastAsia" w:ascii="宋体" w:hAnsi="宋体" w:eastAsia="宋体"/>
          <w:sz w:val="24"/>
          <w:szCs w:val="24"/>
        </w:rPr>
        <w:t>真实场景的拟真还原和游戏化设计；</w:t>
      </w:r>
    </w:p>
    <w:p>
      <w:pPr>
        <w:widowControl/>
        <w:spacing w:line="360" w:lineRule="auto"/>
        <w:ind w:firstLine="42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社会公益：环境保护</w:t>
      </w:r>
      <w:r>
        <w:rPr>
          <w:rFonts w:hint="eastAsia" w:ascii="宋体" w:hAnsi="宋体" w:eastAsia="宋体"/>
          <w:sz w:val="24"/>
          <w:szCs w:val="24"/>
        </w:rPr>
        <w:t>、低碳减排、生态建设、</w:t>
      </w:r>
      <w:r>
        <w:rPr>
          <w:rFonts w:ascii="宋体" w:hAnsi="宋体" w:eastAsia="宋体"/>
          <w:sz w:val="24"/>
          <w:szCs w:val="24"/>
        </w:rPr>
        <w:t>关怀弱势群体等</w:t>
      </w:r>
      <w:r>
        <w:rPr>
          <w:rFonts w:hint="eastAsia" w:ascii="宋体" w:hAnsi="宋体" w:eastAsia="宋体"/>
          <w:sz w:val="24"/>
          <w:szCs w:val="24"/>
        </w:rPr>
        <w:t>具有较强社会意义的场景体验或交互。</w:t>
      </w:r>
    </w:p>
    <w:p>
      <w:pPr>
        <w:tabs>
          <w:tab w:val="left" w:pos="1080"/>
        </w:tabs>
        <w:spacing w:before="78" w:beforeLines="25" w:after="78" w:afterLines="25" w:line="300" w:lineRule="auto"/>
        <w:outlineLvl w:val="2"/>
        <w:rPr>
          <w:rFonts w:ascii="黑体" w:hAnsi="黑体" w:eastAsia="黑体" w:cstheme="minorBidi"/>
          <w:bCs/>
          <w:color w:val="000000" w:themeColor="text1"/>
          <w:sz w:val="28"/>
          <w:szCs w:val="28"/>
          <w14:textFill>
            <w14:solidFill>
              <w14:schemeClr w14:val="tx1"/>
            </w14:solidFill>
          </w14:textFill>
        </w:rPr>
      </w:pPr>
      <w:bookmarkStart w:id="1" w:name="_Toc76573290"/>
      <w:r>
        <w:rPr>
          <w:rFonts w:ascii="黑体" w:hAnsi="黑体" w:eastAsia="黑体" w:cstheme="minorBidi"/>
          <w:bCs/>
          <w:color w:val="000000" w:themeColor="text1"/>
          <w:sz w:val="28"/>
          <w:szCs w:val="28"/>
          <w14:textFill>
            <w14:solidFill>
              <w14:schemeClr w14:val="tx1"/>
            </w14:solidFill>
          </w14:textFill>
        </w:rPr>
        <w:t>2、</w:t>
      </w:r>
      <w:r>
        <w:rPr>
          <w:rFonts w:hint="eastAsia" w:ascii="黑体" w:hAnsi="黑体" w:eastAsia="黑体" w:cstheme="minorBidi"/>
          <w:bCs/>
          <w:color w:val="000000" w:themeColor="text1"/>
          <w:sz w:val="28"/>
          <w:szCs w:val="28"/>
          <w14:textFill>
            <w14:solidFill>
              <w14:schemeClr w14:val="tx1"/>
            </w14:solidFill>
          </w14:textFill>
        </w:rPr>
        <w:t>赛程安排</w:t>
      </w:r>
      <w:bookmarkEnd w:id="1"/>
    </w:p>
    <w:p>
      <w:pPr>
        <w:widowControl/>
        <w:spacing w:line="360" w:lineRule="auto"/>
        <w:ind w:firstLine="420"/>
        <w:rPr>
          <w:rFonts w:ascii="宋体" w:hAnsi="宋体" w:eastAsia="宋体"/>
          <w:sz w:val="24"/>
          <w:szCs w:val="24"/>
        </w:rPr>
      </w:pPr>
      <w:r>
        <w:rPr>
          <w:rFonts w:hint="eastAsia" w:ascii="宋体" w:hAnsi="宋体" w:eastAsia="宋体"/>
          <w:sz w:val="24"/>
          <w:szCs w:val="24"/>
        </w:rPr>
        <w:t>本赛项由设计</w:t>
      </w:r>
      <w:r>
        <w:rPr>
          <w:rFonts w:ascii="宋体" w:hAnsi="宋体" w:eastAsia="宋体"/>
          <w:sz w:val="24"/>
          <w:szCs w:val="24"/>
        </w:rPr>
        <w:t>文档</w:t>
      </w:r>
      <w:r>
        <w:rPr>
          <w:rFonts w:hint="eastAsia" w:ascii="宋体" w:hAnsi="宋体" w:eastAsia="宋体"/>
          <w:sz w:val="24"/>
          <w:szCs w:val="24"/>
        </w:rPr>
        <w:t>、试玩体验、答辩考评三</w:t>
      </w:r>
      <w:r>
        <w:rPr>
          <w:rFonts w:ascii="宋体" w:hAnsi="宋体" w:eastAsia="宋体"/>
          <w:sz w:val="24"/>
          <w:szCs w:val="24"/>
        </w:rPr>
        <w:t>个环节组成</w:t>
      </w:r>
      <w:r>
        <w:rPr>
          <w:rFonts w:hint="eastAsia" w:ascii="宋体" w:hAnsi="宋体" w:eastAsia="宋体"/>
          <w:sz w:val="24"/>
          <w:szCs w:val="24"/>
        </w:rPr>
        <w:t>；参赛队在比赛前至少两星期前需提交物包括：作品demo文件包、幻灯片（需包含所引用的工程知识及其来源）、演示视频、设计文档。具体要求如下：</w:t>
      </w:r>
    </w:p>
    <w:p>
      <w:pPr>
        <w:pStyle w:val="27"/>
        <w:numPr>
          <w:ilvl w:val="0"/>
          <w:numId w:val="1"/>
        </w:numPr>
        <w:spacing w:line="360" w:lineRule="auto"/>
        <w:ind w:firstLineChars="0"/>
        <w:rPr>
          <w:rFonts w:ascii="宋体" w:hAnsi="宋体" w:eastAsia="宋体" w:cs="宋体"/>
          <w:sz w:val="24"/>
          <w:szCs w:val="24"/>
        </w:rPr>
      </w:pPr>
      <w:r>
        <w:rPr>
          <w:rFonts w:hint="eastAsia" w:ascii="宋体" w:hAnsi="宋体" w:eastAsia="宋体" w:cs="宋体"/>
          <w:sz w:val="24"/>
          <w:szCs w:val="24"/>
        </w:rPr>
        <w:t>游戏 demo：能够在 pc 或移动端运行。</w:t>
      </w:r>
    </w:p>
    <w:p>
      <w:pPr>
        <w:pStyle w:val="27"/>
        <w:numPr>
          <w:ilvl w:val="0"/>
          <w:numId w:val="1"/>
        </w:numPr>
        <w:spacing w:line="360" w:lineRule="auto"/>
        <w:ind w:firstLineChars="0"/>
        <w:rPr>
          <w:rFonts w:ascii="宋体" w:hAnsi="宋体" w:eastAsia="宋体" w:cs="宋体"/>
          <w:sz w:val="24"/>
          <w:szCs w:val="24"/>
        </w:rPr>
      </w:pPr>
      <w:r>
        <w:rPr>
          <w:rFonts w:hint="eastAsia" w:ascii="宋体" w:hAnsi="宋体" w:eastAsia="宋体" w:cs="宋体"/>
          <w:sz w:val="24"/>
          <w:szCs w:val="24"/>
        </w:rPr>
        <w:t>游戏演示视频：mp4 格式，能够在 pc 运行；视频内容务必包括游戏的完整玩法及解说。</w:t>
      </w:r>
    </w:p>
    <w:p>
      <w:pPr>
        <w:pStyle w:val="27"/>
        <w:numPr>
          <w:ilvl w:val="0"/>
          <w:numId w:val="1"/>
        </w:numPr>
        <w:spacing w:line="360" w:lineRule="auto"/>
        <w:ind w:firstLineChars="0"/>
        <w:rPr>
          <w:rFonts w:ascii="宋体" w:hAnsi="宋体" w:eastAsia="宋体" w:cs="宋体"/>
          <w:sz w:val="24"/>
          <w:szCs w:val="24"/>
        </w:rPr>
      </w:pPr>
      <w:r>
        <w:rPr>
          <w:rFonts w:hint="eastAsia" w:ascii="宋体" w:hAnsi="宋体" w:eastAsia="宋体" w:cs="宋体"/>
          <w:sz w:val="24"/>
          <w:szCs w:val="24"/>
        </w:rPr>
        <w:t>答辩 PPT：包括团队介绍、游戏简介、游戏定位、目标用户定位、游戏创意点说明、核心玩法、美术风格、工程知识与游戏内容的匹配机制、功能设计中所运用的工程知识点。</w:t>
      </w:r>
    </w:p>
    <w:p>
      <w:pPr>
        <w:pStyle w:val="27"/>
        <w:numPr>
          <w:ilvl w:val="0"/>
          <w:numId w:val="1"/>
        </w:numPr>
        <w:spacing w:line="360" w:lineRule="auto"/>
        <w:ind w:firstLineChars="0"/>
        <w:rPr>
          <w:rFonts w:ascii="宋体" w:hAnsi="宋体" w:eastAsia="宋体" w:cs="宋体"/>
          <w:sz w:val="24"/>
          <w:szCs w:val="24"/>
        </w:rPr>
      </w:pPr>
      <w:r>
        <w:rPr>
          <w:rFonts w:ascii="宋体" w:hAnsi="宋体" w:eastAsia="宋体" w:cs="宋体"/>
          <w:sz w:val="24"/>
          <w:szCs w:val="24"/>
        </w:rPr>
        <w:t>设计文档</w:t>
      </w:r>
      <w:r>
        <w:rPr>
          <w:rFonts w:hint="eastAsia" w:ascii="宋体" w:hAnsi="宋体" w:eastAsia="宋体" w:cs="宋体"/>
          <w:sz w:val="24"/>
          <w:szCs w:val="24"/>
        </w:rPr>
        <w:t>：包括设计背景、主要功能、采用的技术、特色与创新点等。</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竞赛所需的电源、笔记本电脑、平板电脑、体验设备、手机、其他智能设备及相关软件等由各参赛队自备。</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若游戏对硬件设备有要求（如手柄、VR 眼镜等），请学生自行配置，组委会不统一提供。</w:t>
      </w:r>
    </w:p>
    <w:p>
      <w:pPr>
        <w:widowControl/>
        <w:spacing w:line="360" w:lineRule="auto"/>
        <w:ind w:firstLine="420"/>
        <w:rPr>
          <w:rFonts w:ascii="宋体" w:hAnsi="宋体" w:eastAsia="宋体"/>
          <w:sz w:val="24"/>
          <w:szCs w:val="24"/>
        </w:rPr>
      </w:pPr>
      <w:r>
        <w:rPr>
          <w:rFonts w:ascii="宋体" w:hAnsi="宋体" w:eastAsia="宋体"/>
          <w:sz w:val="24"/>
          <w:szCs w:val="24"/>
        </w:rPr>
        <w:t>各竞赛环节如表1</w:t>
      </w:r>
      <w:r>
        <w:rPr>
          <w:rFonts w:hint="eastAsia" w:ascii="宋体" w:hAnsi="宋体" w:eastAsia="宋体"/>
          <w:sz w:val="24"/>
          <w:szCs w:val="24"/>
        </w:rPr>
        <w:t>1</w:t>
      </w:r>
      <w:r>
        <w:rPr>
          <w:rFonts w:ascii="宋体" w:hAnsi="宋体" w:eastAsia="宋体"/>
          <w:sz w:val="24"/>
          <w:szCs w:val="24"/>
        </w:rPr>
        <w:t>所示。</w:t>
      </w:r>
    </w:p>
    <w:p>
      <w:pPr>
        <w:adjustRightInd w:val="0"/>
        <w:snapToGrid w:val="0"/>
        <w:spacing w:before="156" w:beforeLines="50" w:line="360" w:lineRule="auto"/>
        <w:jc w:val="center"/>
        <w:rPr>
          <w:rFonts w:ascii="宋体" w:hAnsi="宋体" w:eastAsia="宋体" w:cstheme="minorBidi"/>
          <w:bCs/>
          <w:color w:val="000000" w:themeColor="text1"/>
          <w:szCs w:val="21"/>
          <w14:textFill>
            <w14:solidFill>
              <w14:schemeClr w14:val="tx1"/>
            </w14:solidFill>
          </w14:textFill>
        </w:rPr>
      </w:pPr>
      <w:r>
        <w:rPr>
          <w:rFonts w:ascii="宋体" w:hAnsi="宋体" w:eastAsia="宋体" w:cstheme="minorBidi"/>
          <w:bCs/>
          <w:color w:val="000000" w:themeColor="text1"/>
          <w:szCs w:val="21"/>
          <w14:textFill>
            <w14:solidFill>
              <w14:schemeClr w14:val="tx1"/>
            </w14:solidFill>
          </w14:textFill>
        </w:rPr>
        <w:t>表</w:t>
      </w:r>
      <w:r>
        <w:rPr>
          <w:rFonts w:hint="eastAsia" w:ascii="宋体" w:hAnsi="宋体" w:eastAsia="宋体" w:cstheme="minorBidi"/>
          <w:bCs/>
          <w:color w:val="000000" w:themeColor="text1"/>
          <w:szCs w:val="21"/>
          <w14:textFill>
            <w14:solidFill>
              <w14:schemeClr w14:val="tx1"/>
            </w14:solidFill>
          </w14:textFill>
        </w:rPr>
        <w:t>1</w:t>
      </w:r>
      <w:r>
        <w:rPr>
          <w:rFonts w:ascii="宋体" w:hAnsi="宋体" w:eastAsia="宋体" w:cstheme="minorBidi"/>
          <w:bCs/>
          <w:color w:val="000000" w:themeColor="text1"/>
          <w:szCs w:val="21"/>
          <w14:textFill>
            <w14:solidFill>
              <w14:schemeClr w14:val="tx1"/>
            </w14:solidFill>
          </w14:textFill>
        </w:rPr>
        <w:t xml:space="preserve">1 </w:t>
      </w:r>
      <w:r>
        <w:rPr>
          <w:rFonts w:hint="eastAsia" w:ascii="宋体" w:hAnsi="宋体" w:eastAsia="宋体" w:cstheme="minorBidi"/>
          <w:bCs/>
          <w:color w:val="000000" w:themeColor="text1"/>
          <w:szCs w:val="21"/>
          <w14:textFill>
            <w14:solidFill>
              <w14:schemeClr w14:val="tx1"/>
            </w14:solidFill>
          </w14:textFill>
        </w:rPr>
        <w:t>工程场景数字化赛项</w:t>
      </w:r>
      <w:r>
        <w:rPr>
          <w:rFonts w:ascii="宋体" w:hAnsi="宋体" w:eastAsia="宋体" w:cstheme="minorBidi"/>
          <w:bCs/>
          <w:color w:val="000000" w:themeColor="text1"/>
          <w:szCs w:val="21"/>
          <w14:textFill>
            <w14:solidFill>
              <w14:schemeClr w14:val="tx1"/>
            </w14:solidFill>
          </w14:textFill>
        </w:rPr>
        <w:t>各环节</w:t>
      </w:r>
    </w:p>
    <w:tbl>
      <w:tblPr>
        <w:tblStyle w:val="1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80"/>
        <w:gridCol w:w="1130"/>
        <w:gridCol w:w="313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61" w:hRule="exact"/>
          <w:jc w:val="center"/>
        </w:trPr>
        <w:tc>
          <w:tcPr>
            <w:tcW w:w="880" w:type="dxa"/>
            <w:vAlign w:val="center"/>
          </w:tcPr>
          <w:p>
            <w:pPr>
              <w:spacing w:line="360" w:lineRule="auto"/>
              <w:jc w:val="center"/>
              <w:rPr>
                <w:rFonts w:ascii="宋体" w:hAnsi="宋体" w:eastAsia="宋体" w:cs="宋体"/>
                <w:b/>
                <w:szCs w:val="21"/>
              </w:rPr>
            </w:pPr>
            <w:r>
              <w:rPr>
                <w:rFonts w:ascii="宋体" w:hAnsi="宋体" w:eastAsia="宋体" w:cs="宋体"/>
                <w:b/>
                <w:spacing w:val="2"/>
                <w:szCs w:val="21"/>
              </w:rPr>
              <w:t>序号</w:t>
            </w:r>
          </w:p>
        </w:tc>
        <w:tc>
          <w:tcPr>
            <w:tcW w:w="1130" w:type="dxa"/>
            <w:tcBorders>
              <w:bottom w:val="single" w:color="auto" w:sz="4" w:space="0"/>
            </w:tcBorders>
            <w:vAlign w:val="center"/>
          </w:tcPr>
          <w:p>
            <w:pPr>
              <w:spacing w:line="360" w:lineRule="auto"/>
              <w:jc w:val="center"/>
              <w:rPr>
                <w:rFonts w:ascii="宋体" w:hAnsi="宋体" w:eastAsia="宋体" w:cs="宋体"/>
                <w:b/>
                <w:szCs w:val="21"/>
              </w:rPr>
            </w:pPr>
            <w:r>
              <w:rPr>
                <w:rFonts w:ascii="宋体" w:hAnsi="宋体" w:eastAsia="宋体" w:cs="宋体"/>
                <w:b/>
                <w:spacing w:val="2"/>
                <w:szCs w:val="21"/>
              </w:rPr>
              <w:t>环节</w:t>
            </w:r>
          </w:p>
        </w:tc>
        <w:tc>
          <w:tcPr>
            <w:tcW w:w="3136" w:type="dxa"/>
            <w:tcBorders>
              <w:bottom w:val="single" w:color="auto" w:sz="4" w:space="0"/>
            </w:tcBorders>
            <w:vAlign w:val="center"/>
          </w:tcPr>
          <w:p>
            <w:pPr>
              <w:spacing w:line="360" w:lineRule="auto"/>
              <w:jc w:val="center"/>
              <w:rPr>
                <w:rFonts w:ascii="宋体" w:hAnsi="宋体" w:eastAsia="宋体" w:cs="宋体"/>
                <w:szCs w:val="21"/>
              </w:rPr>
            </w:pPr>
            <w:r>
              <w:rPr>
                <w:rFonts w:ascii="宋体" w:hAnsi="宋体" w:eastAsia="宋体" w:cs="宋体"/>
                <w:b/>
                <w:spacing w:val="2"/>
                <w:szCs w:val="21"/>
              </w:rPr>
              <w:t>评</w:t>
            </w:r>
            <w:r>
              <w:rPr>
                <w:rFonts w:ascii="宋体" w:hAnsi="宋体" w:eastAsia="宋体" w:cs="宋体"/>
                <w:b/>
                <w:szCs w:val="21"/>
              </w:rPr>
              <w:t>分项</w:t>
            </w:r>
            <w:r>
              <w:rPr>
                <w:rFonts w:ascii="宋体" w:hAnsi="宋体" w:eastAsia="宋体" w:cs="宋体"/>
                <w:b/>
                <w:spacing w:val="1"/>
                <w:szCs w:val="21"/>
              </w:rPr>
              <w:t>目/</w:t>
            </w:r>
            <w:r>
              <w:rPr>
                <w:rFonts w:ascii="宋体" w:hAnsi="宋体" w:eastAsia="宋体" w:cs="宋体"/>
                <w:b/>
                <w:spacing w:val="2"/>
                <w:szCs w:val="21"/>
              </w:rPr>
              <w:t>赛</w:t>
            </w:r>
            <w:r>
              <w:rPr>
                <w:rFonts w:ascii="宋体" w:hAnsi="宋体" w:eastAsia="宋体" w:cs="宋体"/>
                <w:b/>
                <w:szCs w:val="21"/>
              </w:rPr>
              <w:t>程内容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7" w:hRule="exact"/>
          <w:jc w:val="center"/>
        </w:trPr>
        <w:tc>
          <w:tcPr>
            <w:tcW w:w="880" w:type="dxa"/>
            <w:vAlign w:val="center"/>
          </w:tcPr>
          <w:p>
            <w:pPr>
              <w:spacing w:line="360" w:lineRule="auto"/>
              <w:jc w:val="center"/>
              <w:rPr>
                <w:rFonts w:ascii="宋体" w:hAnsi="宋体" w:eastAsia="宋体" w:cs="宋体"/>
                <w:szCs w:val="21"/>
              </w:rPr>
            </w:pPr>
            <w:r>
              <w:rPr>
                <w:rFonts w:ascii="宋体" w:hAnsi="宋体" w:eastAsia="宋体" w:cs="宋体"/>
                <w:szCs w:val="21"/>
              </w:rPr>
              <w:t>1</w:t>
            </w:r>
          </w:p>
        </w:tc>
        <w:tc>
          <w:tcPr>
            <w:tcW w:w="1130" w:type="dxa"/>
            <w:vAlign w:val="center"/>
          </w:tcPr>
          <w:p>
            <w:pPr>
              <w:spacing w:line="360" w:lineRule="auto"/>
              <w:jc w:val="center"/>
              <w:rPr>
                <w:rFonts w:ascii="宋体" w:hAnsi="宋体" w:eastAsia="宋体" w:cs="宋体"/>
                <w:szCs w:val="21"/>
              </w:rPr>
            </w:pPr>
            <w:r>
              <w:rPr>
                <w:rFonts w:ascii="宋体" w:hAnsi="宋体" w:eastAsia="宋体" w:cs="宋体"/>
                <w:szCs w:val="21"/>
              </w:rPr>
              <w:t>第一环节</w:t>
            </w:r>
          </w:p>
        </w:tc>
        <w:tc>
          <w:tcPr>
            <w:tcW w:w="313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设计文档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9" w:hRule="exact"/>
          <w:jc w:val="center"/>
        </w:trPr>
        <w:tc>
          <w:tcPr>
            <w:tcW w:w="880" w:type="dxa"/>
            <w:vAlign w:val="center"/>
          </w:tcPr>
          <w:p>
            <w:pPr>
              <w:spacing w:line="360" w:lineRule="auto"/>
              <w:jc w:val="center"/>
              <w:rPr>
                <w:rFonts w:ascii="宋体" w:hAnsi="宋体" w:eastAsia="宋体" w:cs="宋体"/>
                <w:szCs w:val="21"/>
              </w:rPr>
            </w:pPr>
            <w:r>
              <w:rPr>
                <w:rFonts w:ascii="宋体" w:hAnsi="宋体" w:eastAsia="宋体" w:cs="宋体"/>
                <w:szCs w:val="21"/>
              </w:rPr>
              <w:t>2</w:t>
            </w:r>
          </w:p>
        </w:tc>
        <w:tc>
          <w:tcPr>
            <w:tcW w:w="1130" w:type="dxa"/>
            <w:vAlign w:val="center"/>
          </w:tcPr>
          <w:p>
            <w:pPr>
              <w:spacing w:line="360" w:lineRule="auto"/>
              <w:jc w:val="center"/>
              <w:rPr>
                <w:rFonts w:ascii="宋体" w:hAnsi="宋体" w:eastAsia="宋体" w:cs="宋体"/>
                <w:szCs w:val="21"/>
              </w:rPr>
            </w:pPr>
            <w:r>
              <w:rPr>
                <w:rFonts w:ascii="宋体" w:hAnsi="宋体" w:eastAsia="宋体" w:cs="宋体"/>
                <w:szCs w:val="21"/>
              </w:rPr>
              <w:t>第</w:t>
            </w:r>
            <w:r>
              <w:rPr>
                <w:rFonts w:hint="eastAsia" w:ascii="宋体" w:hAnsi="宋体" w:eastAsia="宋体" w:cs="宋体"/>
                <w:szCs w:val="21"/>
              </w:rPr>
              <w:t>二</w:t>
            </w:r>
            <w:r>
              <w:rPr>
                <w:rFonts w:ascii="宋体" w:hAnsi="宋体" w:eastAsia="宋体" w:cs="宋体"/>
                <w:szCs w:val="21"/>
              </w:rPr>
              <w:t>环节</w:t>
            </w:r>
          </w:p>
        </w:tc>
        <w:tc>
          <w:tcPr>
            <w:tcW w:w="313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试玩体验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9" w:hRule="exact"/>
          <w:jc w:val="center"/>
        </w:trPr>
        <w:tc>
          <w:tcPr>
            <w:tcW w:w="880" w:type="dxa"/>
            <w:vAlign w:val="center"/>
          </w:tcPr>
          <w:p>
            <w:pPr>
              <w:spacing w:line="360" w:lineRule="auto"/>
              <w:jc w:val="center"/>
              <w:rPr>
                <w:rFonts w:ascii="宋体" w:hAnsi="宋体" w:eastAsia="宋体" w:cs="宋体"/>
                <w:szCs w:val="21"/>
              </w:rPr>
            </w:pPr>
            <w:r>
              <w:rPr>
                <w:rFonts w:ascii="宋体" w:hAnsi="宋体" w:eastAsia="宋体" w:cs="宋体"/>
                <w:szCs w:val="21"/>
              </w:rPr>
              <w:t>3</w:t>
            </w:r>
          </w:p>
        </w:tc>
        <w:tc>
          <w:tcPr>
            <w:tcW w:w="1130"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第三环节</w:t>
            </w:r>
          </w:p>
        </w:tc>
        <w:tc>
          <w:tcPr>
            <w:tcW w:w="3136" w:type="dxa"/>
            <w:vAlign w:val="center"/>
          </w:tcPr>
          <w:p>
            <w:pPr>
              <w:spacing w:line="360" w:lineRule="auto"/>
              <w:jc w:val="center"/>
              <w:rPr>
                <w:rFonts w:ascii="宋体" w:hAnsi="宋体" w:eastAsia="宋体" w:cs="宋体"/>
                <w:szCs w:val="21"/>
              </w:rPr>
            </w:pPr>
            <w:r>
              <w:rPr>
                <w:rFonts w:hint="eastAsia" w:ascii="宋体" w:hAnsi="宋体" w:eastAsia="宋体" w:cs="宋体"/>
                <w:szCs w:val="21"/>
              </w:rPr>
              <w:t>答辩考评</w:t>
            </w:r>
          </w:p>
        </w:tc>
      </w:tr>
    </w:tbl>
    <w:p>
      <w:pPr>
        <w:tabs>
          <w:tab w:val="left" w:pos="1080"/>
        </w:tabs>
        <w:spacing w:before="78" w:beforeLines="25" w:after="78" w:afterLines="25" w:line="300" w:lineRule="auto"/>
        <w:outlineLvl w:val="2"/>
        <w:rPr>
          <w:rFonts w:ascii="黑体" w:hAnsi="黑体" w:eastAsia="黑体" w:cstheme="minorBidi"/>
          <w:bCs/>
          <w:color w:val="000000" w:themeColor="text1"/>
          <w:sz w:val="28"/>
          <w:szCs w:val="28"/>
          <w14:textFill>
            <w14:solidFill>
              <w14:schemeClr w14:val="tx1"/>
            </w14:solidFill>
          </w14:textFill>
        </w:rPr>
      </w:pPr>
      <w:bookmarkStart w:id="2" w:name="_Toc76573292"/>
      <w:r>
        <w:rPr>
          <w:rFonts w:hint="eastAsia" w:ascii="黑体" w:hAnsi="黑体" w:eastAsia="黑体" w:cstheme="minorBidi"/>
          <w:bCs/>
          <w:color w:val="000000" w:themeColor="text1"/>
          <w:sz w:val="28"/>
          <w:szCs w:val="28"/>
          <w14:textFill>
            <w14:solidFill>
              <w14:schemeClr w14:val="tx1"/>
            </w14:solidFill>
          </w14:textFill>
        </w:rPr>
        <w:t>3</w:t>
      </w:r>
      <w:r>
        <w:rPr>
          <w:rFonts w:ascii="黑体" w:hAnsi="黑体" w:eastAsia="黑体" w:cstheme="minorBidi"/>
          <w:bCs/>
          <w:color w:val="000000" w:themeColor="text1"/>
          <w:sz w:val="28"/>
          <w:szCs w:val="28"/>
          <w14:textFill>
            <w14:solidFill>
              <w14:schemeClr w14:val="tx1"/>
            </w14:solidFill>
          </w14:textFill>
        </w:rPr>
        <w:t>、</w:t>
      </w:r>
      <w:r>
        <w:rPr>
          <w:rFonts w:hint="eastAsia" w:ascii="黑体" w:hAnsi="黑体" w:eastAsia="黑体" w:cstheme="minorBidi"/>
          <w:bCs/>
          <w:color w:val="000000" w:themeColor="text1"/>
          <w:sz w:val="28"/>
          <w:szCs w:val="28"/>
          <w14:textFill>
            <w14:solidFill>
              <w14:schemeClr w14:val="tx1"/>
            </w14:solidFill>
          </w14:textFill>
        </w:rPr>
        <w:t>赛项具体要求</w:t>
      </w:r>
      <w:bookmarkEnd w:id="2"/>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bookmarkStart w:id="3" w:name="_Toc76573293"/>
      <w:r>
        <w:rPr>
          <w:rFonts w:hint="eastAsia" w:ascii="宋体" w:hAnsi="宋体" w:eastAsia="宋体"/>
          <w:b/>
          <w:bCs/>
          <w:color w:val="000000" w:themeColor="text1"/>
          <w:sz w:val="28"/>
          <w:szCs w:val="28"/>
          <w14:textFill>
            <w14:solidFill>
              <w14:schemeClr w14:val="tx1"/>
            </w14:solidFill>
          </w14:textFill>
        </w:rPr>
        <w:t>3</w:t>
      </w:r>
      <w:r>
        <w:rPr>
          <w:rFonts w:ascii="宋体" w:hAnsi="宋体" w:eastAsia="宋体"/>
          <w:b/>
          <w:bCs/>
          <w:color w:val="000000" w:themeColor="text1"/>
          <w:sz w:val="28"/>
          <w:szCs w:val="28"/>
          <w14:textFill>
            <w14:solidFill>
              <w14:schemeClr w14:val="tx1"/>
            </w14:solidFill>
          </w14:textFill>
        </w:rPr>
        <w:t>.1</w:t>
      </w:r>
      <w:r>
        <w:rPr>
          <w:rFonts w:hint="eastAsia" w:ascii="宋体" w:hAnsi="宋体" w:eastAsia="宋体"/>
          <w:b/>
          <w:bCs/>
          <w:color w:val="000000" w:themeColor="text1"/>
          <w:sz w:val="28"/>
          <w:szCs w:val="28"/>
          <w14:textFill>
            <w14:solidFill>
              <w14:schemeClr w14:val="tx1"/>
            </w14:solidFill>
          </w14:textFill>
        </w:rPr>
        <w:t>设计</w:t>
      </w:r>
      <w:r>
        <w:rPr>
          <w:rFonts w:ascii="宋体" w:hAnsi="宋体" w:eastAsia="宋体"/>
          <w:b/>
          <w:bCs/>
          <w:color w:val="000000" w:themeColor="text1"/>
          <w:sz w:val="28"/>
          <w:szCs w:val="28"/>
          <w14:textFill>
            <w14:solidFill>
              <w14:schemeClr w14:val="tx1"/>
            </w14:solidFill>
          </w14:textFill>
        </w:rPr>
        <w:t>文档</w:t>
      </w:r>
    </w:p>
    <w:p>
      <w:pPr>
        <w:tabs>
          <w:tab w:val="left" w:pos="1620"/>
        </w:tabs>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参赛</w:t>
      </w:r>
      <w:r>
        <w:rPr>
          <w:rFonts w:ascii="宋体" w:hAnsi="宋体" w:eastAsia="宋体" w:cs="宋体"/>
          <w:sz w:val="24"/>
          <w:szCs w:val="24"/>
        </w:rPr>
        <w:t>队根据竞赛命题</w:t>
      </w:r>
      <w:r>
        <w:rPr>
          <w:rFonts w:hint="eastAsia" w:ascii="宋体" w:hAnsi="宋体" w:eastAsia="宋体" w:cs="宋体"/>
          <w:sz w:val="24"/>
          <w:szCs w:val="24"/>
        </w:rPr>
        <w:t>给出所策划游戏开发的目标，游戏功能的设计规划（包括设计理念、功能描述、亮点描述、界面详情），拟实现功能涉及的工程体系（包括工程知识与游戏内容的匹配机制、所运用的工程知识点），各队该项得分计入其总成绩。</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3.</w:t>
      </w:r>
      <w:r>
        <w:rPr>
          <w:rFonts w:ascii="宋体" w:hAnsi="宋体" w:eastAsia="宋体"/>
          <w:b/>
          <w:bCs/>
          <w:color w:val="000000" w:themeColor="text1"/>
          <w:sz w:val="28"/>
          <w:szCs w:val="28"/>
          <w14:textFill>
            <w14:solidFill>
              <w14:schemeClr w14:val="tx1"/>
            </w14:solidFill>
          </w14:textFill>
        </w:rPr>
        <w:t>2</w:t>
      </w:r>
      <w:r>
        <w:rPr>
          <w:rFonts w:hint="eastAsia" w:ascii="宋体" w:hAnsi="宋体" w:eastAsia="宋体"/>
          <w:b/>
          <w:bCs/>
          <w:color w:val="000000" w:themeColor="text1"/>
          <w:sz w:val="28"/>
          <w:szCs w:val="28"/>
          <w14:textFill>
            <w14:solidFill>
              <w14:schemeClr w14:val="tx1"/>
            </w14:solidFill>
          </w14:textFill>
        </w:rPr>
        <w:t>试玩体验</w:t>
      </w:r>
    </w:p>
    <w:p>
      <w:pPr>
        <w:widowControl/>
        <w:spacing w:line="360" w:lineRule="auto"/>
        <w:ind w:firstLine="420"/>
        <w:rPr>
          <w:rFonts w:ascii="宋体" w:hAnsi="宋体" w:eastAsia="宋体"/>
          <w:sz w:val="24"/>
          <w:szCs w:val="24"/>
        </w:rPr>
      </w:pPr>
      <w:r>
        <w:rPr>
          <w:rFonts w:hint="eastAsia" w:ascii="宋体" w:hAnsi="宋体" w:eastAsia="宋体"/>
          <w:sz w:val="24"/>
          <w:szCs w:val="24"/>
        </w:rPr>
        <w:t>根据命题要求，评审专家自由体验参赛作品。本环节重点考察参赛作品的体验感，主要包括游戏表现、工程内涵、完成度等几个方面。</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1）游戏表现</w:t>
      </w:r>
    </w:p>
    <w:p>
      <w:pPr>
        <w:widowControl/>
        <w:spacing w:line="360" w:lineRule="auto"/>
        <w:ind w:firstLine="420"/>
        <w:rPr>
          <w:rFonts w:ascii="宋体" w:hAnsi="宋体" w:eastAsia="宋体"/>
          <w:sz w:val="24"/>
          <w:szCs w:val="24"/>
        </w:rPr>
      </w:pPr>
      <w:r>
        <w:rPr>
          <w:rFonts w:hint="eastAsia" w:ascii="宋体" w:hAnsi="宋体" w:eastAsia="宋体"/>
          <w:sz w:val="24"/>
          <w:szCs w:val="24"/>
        </w:rPr>
        <w:t>（1）玩法创意：</w:t>
      </w:r>
      <w:r>
        <w:rPr>
          <w:rFonts w:ascii="宋体" w:hAnsi="宋体" w:eastAsia="宋体"/>
          <w:sz w:val="24"/>
          <w:szCs w:val="24"/>
        </w:rPr>
        <w:t>清晰表达核心玩法和</w:t>
      </w:r>
      <w:r>
        <w:rPr>
          <w:rFonts w:hint="eastAsia" w:ascii="宋体" w:hAnsi="宋体" w:eastAsia="宋体"/>
          <w:sz w:val="24"/>
          <w:szCs w:val="24"/>
        </w:rPr>
        <w:t>创意。</w:t>
      </w:r>
      <w:r>
        <w:rPr>
          <w:rFonts w:ascii="宋体" w:hAnsi="宋体" w:eastAsia="宋体"/>
          <w:sz w:val="24"/>
          <w:szCs w:val="24"/>
        </w:rPr>
        <w:t>相</w:t>
      </w:r>
      <w:r>
        <w:rPr>
          <w:rFonts w:hint="eastAsia" w:ascii="宋体" w:hAnsi="宋体" w:eastAsia="宋体"/>
          <w:sz w:val="24"/>
          <w:szCs w:val="24"/>
        </w:rPr>
        <w:t>对</w:t>
      </w:r>
      <w:r>
        <w:rPr>
          <w:rFonts w:ascii="宋体" w:hAnsi="宋体" w:eastAsia="宋体"/>
          <w:sz w:val="24"/>
          <w:szCs w:val="24"/>
        </w:rPr>
        <w:t>于同类型游戏，</w:t>
      </w:r>
      <w:r>
        <w:rPr>
          <w:rFonts w:hint="eastAsia" w:ascii="宋体" w:hAnsi="宋体" w:eastAsia="宋体"/>
          <w:sz w:val="24"/>
          <w:szCs w:val="24"/>
        </w:rPr>
        <w:t>玩法要足够有趣，具有创新，易于理解，富有深度。</w:t>
      </w:r>
    </w:p>
    <w:p>
      <w:pPr>
        <w:widowControl/>
        <w:spacing w:line="360" w:lineRule="auto"/>
        <w:ind w:firstLine="420"/>
        <w:rPr>
          <w:rFonts w:ascii="宋体" w:hAnsi="宋体" w:eastAsia="宋体"/>
          <w:sz w:val="24"/>
          <w:szCs w:val="24"/>
        </w:rPr>
      </w:pPr>
      <w:r>
        <w:rPr>
          <w:rFonts w:hint="eastAsia" w:ascii="宋体" w:hAnsi="宋体" w:eastAsia="宋体"/>
          <w:sz w:val="24"/>
          <w:szCs w:val="24"/>
        </w:rPr>
        <w:t>（2）表现力：美术品质、视觉效果、</w:t>
      </w:r>
      <w:r>
        <w:rPr>
          <w:rFonts w:ascii="宋体" w:hAnsi="宋体" w:eastAsia="宋体"/>
          <w:sz w:val="24"/>
          <w:szCs w:val="24"/>
        </w:rPr>
        <w:t>UI</w:t>
      </w:r>
      <w:r>
        <w:rPr>
          <w:rFonts w:hint="eastAsia" w:ascii="宋体" w:hAnsi="宋体" w:eastAsia="宋体"/>
          <w:sz w:val="24"/>
          <w:szCs w:val="24"/>
        </w:rPr>
        <w:t>等；音乐和音效表现力充足。</w:t>
      </w:r>
    </w:p>
    <w:p>
      <w:pPr>
        <w:widowControl/>
        <w:spacing w:line="360" w:lineRule="auto"/>
        <w:ind w:firstLine="420"/>
        <w:rPr>
          <w:rFonts w:ascii="宋体" w:hAnsi="宋体" w:eastAsia="宋体"/>
          <w:sz w:val="24"/>
          <w:szCs w:val="24"/>
        </w:rPr>
      </w:pPr>
      <w:r>
        <w:rPr>
          <w:rFonts w:hint="eastAsia" w:ascii="宋体" w:hAnsi="宋体" w:eastAsia="宋体"/>
          <w:sz w:val="24"/>
          <w:szCs w:val="24"/>
        </w:rPr>
        <w:t>（3）体验设计：游戏的演出效果、镜头、人物动作、故事等维度，要进行良好的体验设计，引人入胜；游戏要体现足够的内容拓展性，可具备持续的用户体验动力</w:t>
      </w:r>
      <w:r>
        <w:rPr>
          <w:rFonts w:ascii="宋体" w:hAnsi="宋体" w:eastAsia="宋体"/>
          <w:sz w:val="24"/>
          <w:szCs w:val="24"/>
        </w:rPr>
        <w:t>。</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w:t>
      </w:r>
      <w:r>
        <w:rPr>
          <w:rFonts w:hint="eastAsia" w:ascii="宋体" w:hAnsi="宋体" w:eastAsia="宋体"/>
          <w:b/>
          <w:bCs/>
          <w:color w:val="000000" w:themeColor="text1"/>
          <w:sz w:val="28"/>
          <w:szCs w:val="28"/>
          <w14:textFill>
            <w14:solidFill>
              <w14:schemeClr w14:val="tx1"/>
            </w14:solidFill>
          </w14:textFill>
        </w:rPr>
        <w:t>工程内涵</w:t>
      </w:r>
    </w:p>
    <w:p>
      <w:pPr>
        <w:widowControl/>
        <w:spacing w:line="360" w:lineRule="auto"/>
        <w:ind w:firstLine="420"/>
        <w:rPr>
          <w:rFonts w:ascii="宋体" w:hAnsi="宋体" w:eastAsia="宋体"/>
          <w:sz w:val="24"/>
          <w:szCs w:val="24"/>
        </w:rPr>
      </w:pPr>
      <w:r>
        <w:rPr>
          <w:rFonts w:hint="eastAsia" w:ascii="宋体" w:hAnsi="宋体" w:eastAsia="宋体"/>
          <w:sz w:val="24"/>
          <w:szCs w:val="24"/>
        </w:rPr>
        <w:t>（1）工程知识与游戏主题结合的合理性：工程知识内容与游戏形式相匹配，不牵强。游戏操作方式、交互方式，与真实工程场景相似度高。</w:t>
      </w:r>
    </w:p>
    <w:p>
      <w:pPr>
        <w:widowControl/>
        <w:spacing w:line="360" w:lineRule="auto"/>
        <w:ind w:firstLine="420"/>
        <w:rPr>
          <w:rFonts w:ascii="宋体" w:hAnsi="宋体" w:eastAsia="宋体"/>
          <w:sz w:val="24"/>
          <w:szCs w:val="24"/>
        </w:rPr>
      </w:pPr>
      <w:r>
        <w:rPr>
          <w:rFonts w:hint="eastAsia" w:ascii="宋体" w:hAnsi="宋体" w:eastAsia="宋体"/>
          <w:sz w:val="24"/>
          <w:szCs w:val="24"/>
        </w:rPr>
        <w:t>（2）工程知识体系的完整性与准确性：游戏包含的工程知识较为完整地涵盖了某一个领域或专业版块的内容，逻辑正确，无明显错误概念。</w:t>
      </w:r>
    </w:p>
    <w:p>
      <w:pPr>
        <w:widowControl/>
        <w:spacing w:line="360" w:lineRule="auto"/>
        <w:ind w:firstLine="420"/>
        <w:rPr>
          <w:rFonts w:ascii="宋体" w:hAnsi="宋体" w:eastAsia="宋体"/>
          <w:sz w:val="24"/>
          <w:szCs w:val="24"/>
        </w:rPr>
      </w:pPr>
      <w:r>
        <w:rPr>
          <w:rFonts w:hint="eastAsia" w:ascii="宋体" w:hAnsi="宋体" w:eastAsia="宋体"/>
          <w:sz w:val="24"/>
          <w:szCs w:val="24"/>
        </w:rPr>
        <w:t>（3）工程知识代表前沿发展趋势：工程知识捕捉到所涉及领域较为前沿的发展趋势，不能停留于传统工程知识的体系中。</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3）</w:t>
      </w:r>
      <w:r>
        <w:rPr>
          <w:rFonts w:hint="eastAsia" w:ascii="宋体" w:hAnsi="宋体" w:eastAsia="宋体"/>
          <w:b/>
          <w:bCs/>
          <w:color w:val="000000" w:themeColor="text1"/>
          <w:sz w:val="28"/>
          <w:szCs w:val="28"/>
          <w14:textFill>
            <w14:solidFill>
              <w14:schemeClr w14:val="tx1"/>
            </w14:solidFill>
          </w14:textFill>
        </w:rPr>
        <w:t>完成度</w:t>
      </w:r>
    </w:p>
    <w:p>
      <w:pPr>
        <w:widowControl/>
        <w:spacing w:line="360" w:lineRule="auto"/>
        <w:ind w:firstLine="420"/>
        <w:rPr>
          <w:rFonts w:ascii="宋体" w:hAnsi="宋体" w:eastAsia="宋体"/>
          <w:sz w:val="24"/>
          <w:szCs w:val="24"/>
        </w:rPr>
      </w:pPr>
      <w:r>
        <w:rPr>
          <w:rFonts w:ascii="宋体" w:hAnsi="宋体" w:eastAsia="宋体"/>
          <w:sz w:val="24"/>
          <w:szCs w:val="24"/>
        </w:rPr>
        <w:t>Demo完成度：能够流畅运行，实现游戏的主要</w:t>
      </w:r>
      <w:r>
        <w:rPr>
          <w:rFonts w:hint="eastAsia" w:ascii="宋体" w:hAnsi="宋体" w:eastAsia="宋体"/>
          <w:sz w:val="24"/>
          <w:szCs w:val="24"/>
        </w:rPr>
        <w:t>玩法和主场景（关卡）</w:t>
      </w:r>
      <w:r>
        <w:rPr>
          <w:rFonts w:ascii="宋体" w:hAnsi="宋体" w:eastAsia="宋体"/>
          <w:sz w:val="24"/>
          <w:szCs w:val="24"/>
        </w:rPr>
        <w:t>，评委可完整体验核心玩法</w:t>
      </w:r>
      <w:r>
        <w:rPr>
          <w:rFonts w:hint="eastAsia" w:ascii="宋体" w:hAnsi="宋体" w:eastAsia="宋体"/>
          <w:sz w:val="24"/>
          <w:szCs w:val="24"/>
        </w:rPr>
        <w:t>和剧情内容。</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hint="eastAsia" w:ascii="宋体" w:hAnsi="宋体" w:eastAsia="宋体"/>
          <w:b/>
          <w:bCs/>
          <w:color w:val="000000" w:themeColor="text1"/>
          <w:sz w:val="28"/>
          <w:szCs w:val="28"/>
          <w14:textFill>
            <w14:solidFill>
              <w14:schemeClr w14:val="tx1"/>
            </w14:solidFill>
          </w14:textFill>
        </w:rPr>
        <w:t>3</w:t>
      </w:r>
      <w:r>
        <w:rPr>
          <w:rFonts w:ascii="宋体" w:hAnsi="宋体" w:eastAsia="宋体"/>
          <w:b/>
          <w:bCs/>
          <w:color w:val="000000" w:themeColor="text1"/>
          <w:sz w:val="28"/>
          <w:szCs w:val="28"/>
          <w14:textFill>
            <w14:solidFill>
              <w14:schemeClr w14:val="tx1"/>
            </w14:solidFill>
          </w14:textFill>
        </w:rPr>
        <w:t>.3</w:t>
      </w:r>
      <w:r>
        <w:rPr>
          <w:rFonts w:hint="eastAsia" w:ascii="宋体" w:hAnsi="宋体" w:eastAsia="宋体"/>
          <w:b/>
          <w:bCs/>
          <w:color w:val="000000" w:themeColor="text1"/>
          <w:sz w:val="28"/>
          <w:szCs w:val="28"/>
          <w14:textFill>
            <w14:solidFill>
              <w14:schemeClr w14:val="tx1"/>
            </w14:solidFill>
          </w14:textFill>
        </w:rPr>
        <w:t>答辩考评</w:t>
      </w:r>
      <w:bookmarkEnd w:id="3"/>
    </w:p>
    <w:p>
      <w:pPr>
        <w:widowControl/>
        <w:spacing w:line="360" w:lineRule="auto"/>
        <w:ind w:firstLine="420"/>
        <w:rPr>
          <w:rFonts w:ascii="宋体" w:hAnsi="宋体" w:eastAsia="宋体"/>
          <w:sz w:val="24"/>
          <w:szCs w:val="24"/>
        </w:rPr>
      </w:pPr>
      <w:r>
        <w:rPr>
          <w:rFonts w:hint="eastAsia" w:ascii="宋体" w:hAnsi="宋体" w:eastAsia="宋体"/>
          <w:sz w:val="24"/>
          <w:szCs w:val="24"/>
        </w:rPr>
        <w:t>答辩环节，团队通过幻灯片展示作品理念、主题、定位人群、设计亮点、玩法创新、社会价值与意义等方面的内容，并接受评审专家的提问。评审专家综合评价，给出该环节的成绩。</w:t>
      </w:r>
    </w:p>
    <w:p>
      <w:pPr>
        <w:widowControl/>
        <w:spacing w:line="360" w:lineRule="auto"/>
        <w:ind w:firstLine="420"/>
        <w:rPr>
          <w:rFonts w:ascii="宋体" w:hAnsi="宋体" w:eastAsia="宋体"/>
          <w:sz w:val="24"/>
          <w:szCs w:val="24"/>
        </w:rPr>
      </w:pPr>
      <w:r>
        <w:rPr>
          <w:rFonts w:hint="eastAsia" w:ascii="宋体" w:hAnsi="宋体" w:eastAsia="宋体"/>
          <w:sz w:val="24"/>
          <w:szCs w:val="24"/>
        </w:rPr>
        <w:t>以三个环节的总成绩对各参赛队进行排名，若出现参赛队总成绩相同，则按展示与答辩环节成绩得分高者优先排序，如仍旧无法区分排序，则抽签决定。</w:t>
      </w:r>
    </w:p>
    <w:p>
      <w:pPr>
        <w:tabs>
          <w:tab w:val="left" w:pos="1080"/>
        </w:tabs>
        <w:spacing w:before="78" w:beforeLines="25" w:after="78" w:afterLines="25" w:line="300" w:lineRule="auto"/>
        <w:outlineLvl w:val="2"/>
        <w:rPr>
          <w:rFonts w:ascii="黑体" w:hAnsi="黑体" w:eastAsia="黑体" w:cstheme="minorBidi"/>
          <w:bCs/>
          <w:color w:val="000000" w:themeColor="text1"/>
          <w:sz w:val="28"/>
          <w:szCs w:val="28"/>
          <w14:textFill>
            <w14:solidFill>
              <w14:schemeClr w14:val="tx1"/>
            </w14:solidFill>
          </w14:textFill>
        </w:rPr>
      </w:pPr>
      <w:r>
        <w:rPr>
          <w:rFonts w:hint="eastAsia" w:ascii="黑体" w:hAnsi="黑体" w:eastAsia="黑体" w:cstheme="minorBidi"/>
          <w:bCs/>
          <w:color w:val="000000" w:themeColor="text1"/>
          <w:sz w:val="28"/>
          <w:szCs w:val="28"/>
          <w14:textFill>
            <w14:solidFill>
              <w14:schemeClr w14:val="tx1"/>
            </w14:solidFill>
          </w14:textFill>
        </w:rPr>
        <w:t>5、注意事项</w:t>
      </w:r>
    </w:p>
    <w:p>
      <w:pPr>
        <w:widowControl/>
        <w:spacing w:line="360" w:lineRule="auto"/>
        <w:ind w:firstLine="420"/>
        <w:rPr>
          <w:rFonts w:ascii="宋体" w:hAnsi="宋体" w:eastAsia="宋体"/>
          <w:sz w:val="24"/>
          <w:szCs w:val="24"/>
        </w:rPr>
      </w:pPr>
      <w:r>
        <w:rPr>
          <w:rFonts w:hint="eastAsia" w:ascii="宋体" w:hAnsi="宋体" w:eastAsia="宋体"/>
          <w:sz w:val="24"/>
          <w:szCs w:val="24"/>
        </w:rPr>
        <w:t>所有参赛作品必须由参赛队成员自主设计、独立完成、满足命题要求、遵守竞赛规则和相关要求，严禁抄袭、模仿。在竞赛中或竞赛结束后被举报违反上述要求且经查证属实的，将取消参赛及获奖资格。</w:t>
      </w:r>
    </w:p>
    <w:p>
      <w:pPr>
        <w:tabs>
          <w:tab w:val="left" w:pos="1620"/>
        </w:tabs>
        <w:spacing w:line="360" w:lineRule="auto"/>
        <w:ind w:firstLine="480" w:firstLineChars="200"/>
        <w:rPr>
          <w:rFonts w:ascii="宋体" w:hAnsi="宋体" w:eastAsia="宋体" w:cs="宋体"/>
          <w:sz w:val="24"/>
          <w:szCs w:val="24"/>
        </w:rPr>
      </w:pPr>
    </w:p>
    <w:p>
      <w:pPr>
        <w:tabs>
          <w:tab w:val="left" w:pos="1620"/>
        </w:tabs>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以竞赛总成绩分别对各参赛队进行排名。若出现参赛队总成绩相同的情况，则按现场答辩成绩排序，分高者优先。如仍旧无法区分排序，则抽签决定。</w:t>
      </w:r>
    </w:p>
    <w:p>
      <w:pPr>
        <w:widowControl/>
        <w:spacing w:line="360" w:lineRule="auto"/>
        <w:ind w:firstLine="420"/>
        <w:rPr>
          <w:rFonts w:ascii="宋体" w:hAnsi="宋体" w:eastAsia="宋体"/>
          <w:sz w:val="24"/>
          <w:szCs w:val="24"/>
        </w:rPr>
      </w:pPr>
    </w:p>
    <w:p>
      <w:pPr>
        <w:tabs>
          <w:tab w:val="left" w:pos="1080"/>
          <w:tab w:val="center" w:pos="4153"/>
        </w:tabs>
        <w:spacing w:before="78" w:beforeLines="25" w:after="78" w:afterLines="25" w:line="300" w:lineRule="auto"/>
        <w:outlineLvl w:val="2"/>
        <w:rPr>
          <w:rFonts w:ascii="黑体" w:hAnsi="黑体" w:eastAsia="黑体" w:cstheme="minorBidi"/>
          <w:bCs/>
          <w:sz w:val="30"/>
          <w:szCs w:val="30"/>
        </w:rPr>
      </w:pPr>
      <w:r>
        <w:rPr>
          <w:rFonts w:hint="eastAsia" w:ascii="黑体" w:hAnsi="黑体" w:eastAsia="黑体" w:cstheme="minorBidi"/>
          <w:bCs/>
          <w:sz w:val="30"/>
          <w:szCs w:val="30"/>
          <w:lang w:val="en-US" w:eastAsia="zh-CN"/>
        </w:rPr>
        <w:t>二</w:t>
      </w:r>
      <w:bookmarkStart w:id="4" w:name="_GoBack"/>
      <w:bookmarkEnd w:id="4"/>
      <w:r>
        <w:rPr>
          <w:rFonts w:hint="eastAsia" w:ascii="黑体" w:hAnsi="黑体" w:eastAsia="黑体" w:cstheme="minorBidi"/>
          <w:bCs/>
          <w:sz w:val="30"/>
          <w:szCs w:val="30"/>
        </w:rPr>
        <w:t>、企业运营仿真赛项</w:t>
      </w:r>
    </w:p>
    <w:p>
      <w:pPr>
        <w:widowControl/>
        <w:spacing w:line="360" w:lineRule="auto"/>
        <w:ind w:firstLine="420"/>
        <w:rPr>
          <w:rFonts w:ascii="宋体" w:hAnsi="宋体" w:eastAsia="宋体"/>
          <w:sz w:val="24"/>
          <w:szCs w:val="24"/>
        </w:rPr>
      </w:pPr>
      <w:r>
        <w:rPr>
          <w:rFonts w:ascii="宋体" w:hAnsi="宋体" w:eastAsia="宋体"/>
          <w:sz w:val="24"/>
          <w:szCs w:val="24"/>
        </w:rPr>
        <w:t>当前，我国正面临新一轮产业变革与经济结构转型升级的双重机遇与挑战</w:t>
      </w:r>
      <w:r>
        <w:rPr>
          <w:rFonts w:hint="eastAsia" w:ascii="宋体" w:hAnsi="宋体" w:eastAsia="宋体"/>
          <w:sz w:val="24"/>
          <w:szCs w:val="24"/>
        </w:rPr>
        <w:t>。党的二十大工作报告中指出，</w:t>
      </w:r>
      <w:r>
        <w:rPr>
          <w:rFonts w:ascii="宋体" w:hAnsi="宋体" w:eastAsia="宋体"/>
          <w:sz w:val="24"/>
          <w:szCs w:val="24"/>
        </w:rPr>
        <w:t>加快发展数字经济，促进数字经济和实体经济深度融合，打造具有国际竞争力的数字产业集群。数字经济时代企业运营与服务管理也面临诸多的挑战。在纷繁动荡的世界经济格局下，亟须通过数字经济全面赋能企业运营与服务创新。从发展理念看，绿色低碳和可持续发展</w:t>
      </w:r>
      <w:r>
        <w:rPr>
          <w:rFonts w:hint="eastAsia" w:ascii="宋体" w:hAnsi="宋体" w:eastAsia="宋体"/>
          <w:sz w:val="24"/>
          <w:szCs w:val="24"/>
        </w:rPr>
        <w:t>与</w:t>
      </w:r>
      <w:r>
        <w:rPr>
          <w:rFonts w:ascii="宋体" w:hAnsi="宋体" w:eastAsia="宋体"/>
          <w:sz w:val="24"/>
          <w:szCs w:val="24"/>
        </w:rPr>
        <w:t>数字经济相融合的生产生活新模式，可以有效降低生产过程中能耗资源浪费，提高存量资源利用效率</w:t>
      </w:r>
      <w:r>
        <w:rPr>
          <w:rFonts w:hint="eastAsia" w:ascii="宋体" w:hAnsi="宋体" w:eastAsia="宋体"/>
          <w:sz w:val="24"/>
          <w:szCs w:val="24"/>
        </w:rPr>
        <w:t>，</w:t>
      </w:r>
      <w:r>
        <w:rPr>
          <w:rFonts w:ascii="宋体" w:hAnsi="宋体" w:eastAsia="宋体"/>
          <w:sz w:val="24"/>
          <w:szCs w:val="24"/>
        </w:rPr>
        <w:t>促进企业间通过跨界协作实现价值链重塑。</w:t>
      </w:r>
    </w:p>
    <w:p>
      <w:pPr>
        <w:widowControl/>
        <w:spacing w:line="360" w:lineRule="auto"/>
        <w:ind w:firstLine="420"/>
        <w:rPr>
          <w:rFonts w:ascii="宋体" w:hAnsi="宋体" w:eastAsia="宋体"/>
          <w:sz w:val="24"/>
          <w:szCs w:val="24"/>
        </w:rPr>
      </w:pPr>
      <w:r>
        <w:rPr>
          <w:rFonts w:ascii="宋体" w:hAnsi="宋体" w:eastAsia="宋体"/>
          <w:sz w:val="24"/>
          <w:szCs w:val="24"/>
        </w:rPr>
        <w:t>本赛项</w:t>
      </w:r>
      <w:r>
        <w:rPr>
          <w:rFonts w:hint="eastAsia" w:ascii="宋体" w:hAnsi="宋体" w:eastAsia="宋体"/>
          <w:sz w:val="24"/>
          <w:szCs w:val="24"/>
        </w:rPr>
        <w:t>重点围绕“数字经济”、“商工结合”等主题内容，以新工科建设和新文科建设为引领，突出多学科交叉协同与创新创造，强调数字化运营可持续发展，培养学生</w:t>
      </w:r>
      <w:r>
        <w:rPr>
          <w:rFonts w:ascii="宋体" w:hAnsi="宋体" w:eastAsia="宋体"/>
          <w:sz w:val="24"/>
          <w:szCs w:val="24"/>
        </w:rPr>
        <w:t>从要素投入的视角看数据驱动创新发展，</w:t>
      </w:r>
      <w:r>
        <w:rPr>
          <w:rFonts w:hint="eastAsia" w:ascii="宋体" w:hAnsi="宋体" w:eastAsia="宋体"/>
          <w:sz w:val="24"/>
          <w:szCs w:val="24"/>
        </w:rPr>
        <w:t>提升学生企业数字化运营管理能力、创新创业能力和绿色低碳意识。</w:t>
      </w:r>
    </w:p>
    <w:p>
      <w:pPr>
        <w:tabs>
          <w:tab w:val="left" w:pos="1080"/>
        </w:tabs>
        <w:spacing w:before="78" w:beforeLines="25" w:after="78" w:afterLines="25" w:line="300" w:lineRule="auto"/>
        <w:outlineLvl w:val="2"/>
        <w:rPr>
          <w:rFonts w:ascii="黑体" w:hAnsi="黑体" w:eastAsia="黑体" w:cstheme="minorBidi"/>
          <w:bCs/>
          <w:color w:val="000000" w:themeColor="text1"/>
          <w:sz w:val="28"/>
          <w:szCs w:val="28"/>
          <w14:textFill>
            <w14:solidFill>
              <w14:schemeClr w14:val="tx1"/>
            </w14:solidFill>
          </w14:textFill>
        </w:rPr>
      </w:pPr>
      <w:r>
        <w:rPr>
          <w:rFonts w:ascii="黑体" w:hAnsi="黑体" w:eastAsia="黑体" w:cstheme="minorBidi"/>
          <w:bCs/>
          <w:color w:val="000000" w:themeColor="text1"/>
          <w:sz w:val="28"/>
          <w:szCs w:val="28"/>
          <w14:textFill>
            <w14:solidFill>
              <w14:schemeClr w14:val="tx1"/>
            </w14:solidFill>
          </w14:textFill>
        </w:rPr>
        <w:t>1</w:t>
      </w:r>
      <w:r>
        <w:rPr>
          <w:rFonts w:hint="eastAsia" w:ascii="黑体" w:hAnsi="黑体" w:eastAsia="黑体" w:cstheme="minorBidi"/>
          <w:bCs/>
          <w:color w:val="000000" w:themeColor="text1"/>
          <w:sz w:val="28"/>
          <w:szCs w:val="28"/>
          <w14:textFill>
            <w14:solidFill>
              <w14:schemeClr w14:val="tx1"/>
            </w14:solidFill>
          </w14:textFill>
        </w:rPr>
        <w:t>、</w:t>
      </w:r>
      <w:r>
        <w:rPr>
          <w:rFonts w:ascii="黑体" w:hAnsi="黑体" w:eastAsia="黑体" w:cstheme="minorBidi"/>
          <w:bCs/>
          <w:color w:val="000000" w:themeColor="text1"/>
          <w:sz w:val="28"/>
          <w:szCs w:val="28"/>
          <w14:textFill>
            <w14:solidFill>
              <w14:schemeClr w14:val="tx1"/>
            </w14:solidFill>
          </w14:textFill>
        </w:rPr>
        <w:t>对竞赛内容的要求</w:t>
      </w:r>
    </w:p>
    <w:p>
      <w:pPr>
        <w:widowControl/>
        <w:spacing w:line="360" w:lineRule="auto"/>
        <w:ind w:firstLine="420"/>
        <w:rPr>
          <w:rFonts w:ascii="宋体" w:hAnsi="宋体" w:eastAsia="宋体"/>
          <w:sz w:val="24"/>
          <w:szCs w:val="24"/>
        </w:rPr>
      </w:pPr>
      <w:r>
        <w:rPr>
          <w:rFonts w:hint="eastAsia" w:ascii="宋体" w:hAnsi="宋体" w:eastAsia="宋体"/>
          <w:sz w:val="24"/>
          <w:szCs w:val="24"/>
        </w:rPr>
        <w:t>企业运营仿真竞赛从提升学生工程创新和实践能力角度出发，激发学生学习志趣、创新潜能，培养低碳意识，以供应链上下游企业业务流程为主线，以现代生产制造企业为核心，以行政单位和金融单位等服务性机构为依托，打造全景商业生态圈。参赛学生组建经营团队，虚拟一家现代生产制造型企业，就职于企业各部门岗位，从事相应的管理运营工作，通过企业数据资源和数字化工具，对企业运营的产、供、销等各个业务流程进行重塑，并通过企业宏观和微观数据分析，在绿色低碳的运营理念下做出最优的企业运营决策，从而真正体会到企业完整的数字化经营和管理过程。</w:t>
      </w:r>
    </w:p>
    <w:p>
      <w:pPr>
        <w:widowControl/>
        <w:spacing w:line="360" w:lineRule="auto"/>
        <w:ind w:firstLine="420"/>
        <w:rPr>
          <w:rFonts w:ascii="宋体" w:hAnsi="宋体" w:eastAsia="宋体"/>
          <w:sz w:val="24"/>
          <w:szCs w:val="24"/>
        </w:rPr>
      </w:pPr>
      <w:r>
        <w:rPr>
          <w:rFonts w:hint="eastAsia" w:ascii="宋体" w:hAnsi="宋体" w:eastAsia="宋体"/>
          <w:sz w:val="24"/>
          <w:szCs w:val="24"/>
        </w:rPr>
        <w:t>参赛队在竞赛场地通过计算机和网络，登录企业运营仿真竞赛专用平台开展竞赛，鼓励学生跨学科、跨专业组队参赛。竞赛过程中，当企业负债大于资产十倍，公司破产，结束比赛。</w:t>
      </w:r>
    </w:p>
    <w:p>
      <w:pPr>
        <w:tabs>
          <w:tab w:val="left" w:pos="1080"/>
        </w:tabs>
        <w:spacing w:before="78" w:beforeLines="25" w:after="78" w:afterLines="25" w:line="300" w:lineRule="auto"/>
        <w:outlineLvl w:val="2"/>
        <w:rPr>
          <w:rFonts w:ascii="黑体" w:hAnsi="黑体" w:eastAsia="黑体" w:cstheme="minorBidi"/>
          <w:bCs/>
          <w:color w:val="000000" w:themeColor="text1"/>
          <w:sz w:val="28"/>
          <w:szCs w:val="28"/>
          <w14:textFill>
            <w14:solidFill>
              <w14:schemeClr w14:val="tx1"/>
            </w14:solidFill>
          </w14:textFill>
        </w:rPr>
      </w:pPr>
      <w:r>
        <w:rPr>
          <w:rFonts w:ascii="黑体" w:hAnsi="黑体" w:eastAsia="黑体" w:cstheme="minorBidi"/>
          <w:bCs/>
          <w:color w:val="000000" w:themeColor="text1"/>
          <w:sz w:val="28"/>
          <w:szCs w:val="28"/>
          <w14:textFill>
            <w14:solidFill>
              <w14:schemeClr w14:val="tx1"/>
            </w14:solidFill>
          </w14:textFill>
        </w:rPr>
        <w:t>2</w:t>
      </w:r>
      <w:r>
        <w:rPr>
          <w:rFonts w:hint="eastAsia" w:ascii="黑体" w:hAnsi="黑体" w:eastAsia="黑体" w:cstheme="minorBidi"/>
          <w:bCs/>
          <w:color w:val="000000" w:themeColor="text1"/>
          <w:sz w:val="28"/>
          <w:szCs w:val="28"/>
          <w14:textFill>
            <w14:solidFill>
              <w14:schemeClr w14:val="tx1"/>
            </w14:solidFill>
          </w14:textFill>
        </w:rPr>
        <w:t>、</w:t>
      </w:r>
      <w:r>
        <w:rPr>
          <w:rFonts w:ascii="黑体" w:hAnsi="黑体" w:eastAsia="黑体" w:cstheme="minorBidi"/>
          <w:bCs/>
          <w:color w:val="000000" w:themeColor="text1"/>
          <w:sz w:val="28"/>
          <w:szCs w:val="28"/>
          <w14:textFill>
            <w14:solidFill>
              <w14:schemeClr w14:val="tx1"/>
            </w14:solidFill>
          </w14:textFill>
        </w:rPr>
        <w:t>对运行环境的要求</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w:t>
      </w:r>
      <w:r>
        <w:rPr>
          <w:rFonts w:hint="eastAsia" w:ascii="宋体" w:hAnsi="宋体" w:eastAsia="宋体"/>
          <w:b/>
          <w:bCs/>
          <w:color w:val="000000" w:themeColor="text1"/>
          <w:sz w:val="28"/>
          <w:szCs w:val="28"/>
          <w14:textFill>
            <w14:solidFill>
              <w14:schemeClr w14:val="tx1"/>
            </w14:solidFill>
          </w14:textFill>
        </w:rPr>
        <w:t>软件要求</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1）企业运营仿真平台竞赛专用版；</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2）计算机操作系统为64位Win7操作系统及以上；</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3）浏览器采用谷歌浏览器，系统分辨率1366*768及以上；</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4）服务器操作系统为Windows server 2008 R2及以上</w:t>
      </w:r>
      <w:r>
        <w:rPr>
          <w:rFonts w:hint="eastAsia" w:ascii="宋体" w:hAnsi="宋体" w:eastAsia="宋体"/>
          <w:sz w:val="24"/>
          <w:szCs w:val="24"/>
        </w:rPr>
        <w:t>。</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2）硬件要求</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1）竞赛服务器。服务器2台，最低配置为内存8G、硬盘180G、CPU四核、主频2.50GHz</w:t>
      </w:r>
      <w:r>
        <w:rPr>
          <w:rFonts w:hint="eastAsia" w:ascii="宋体" w:hAnsi="宋体" w:eastAsia="宋体"/>
          <w:sz w:val="24"/>
          <w:szCs w:val="24"/>
        </w:rPr>
        <w:t>（其中一台备用）；</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2）竞赛学生机。每个参赛队配备两台及以上计算机（每个赛场要有一定数量的备用计算机）</w:t>
      </w:r>
      <w:r>
        <w:rPr>
          <w:rFonts w:hint="eastAsia" w:ascii="宋体" w:hAnsi="宋体" w:eastAsia="宋体"/>
          <w:sz w:val="24"/>
          <w:szCs w:val="24"/>
        </w:rPr>
        <w:t>；</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3）供电保障。配备UPS不间断电源</w:t>
      </w:r>
      <w:r>
        <w:rPr>
          <w:rFonts w:hint="eastAsia" w:ascii="宋体" w:hAnsi="宋体" w:eastAsia="宋体"/>
          <w:sz w:val="24"/>
          <w:szCs w:val="24"/>
        </w:rPr>
        <w:t>，应对竞赛现场突然断电情况；</w:t>
      </w:r>
    </w:p>
    <w:p>
      <w:pPr>
        <w:widowControl/>
        <w:spacing w:line="360" w:lineRule="auto"/>
        <w:ind w:firstLine="42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4）网络保障。配备2台备用交换机，应对竞赛现场网络突发故障。交换机配置：1000Mbps</w:t>
      </w:r>
      <w:r>
        <w:rPr>
          <w:rFonts w:hint="eastAsia" w:ascii="宋体" w:hAnsi="宋体" w:eastAsia="宋体"/>
          <w:sz w:val="24"/>
          <w:szCs w:val="24"/>
        </w:rPr>
        <w:t>速度、</w:t>
      </w:r>
      <w:r>
        <w:rPr>
          <w:rFonts w:ascii="宋体" w:hAnsi="宋体" w:eastAsia="宋体"/>
          <w:sz w:val="24"/>
          <w:szCs w:val="24"/>
        </w:rPr>
        <w:t>24及以上</w:t>
      </w:r>
      <w:r>
        <w:rPr>
          <w:rFonts w:hint="eastAsia" w:ascii="宋体" w:hAnsi="宋体" w:eastAsia="宋体"/>
          <w:sz w:val="24"/>
          <w:szCs w:val="24"/>
        </w:rPr>
        <w:t>接口、支持无线网络，支持</w:t>
      </w:r>
      <w:r>
        <w:rPr>
          <w:rFonts w:ascii="宋体" w:hAnsi="宋体" w:eastAsia="宋体"/>
          <w:sz w:val="24"/>
          <w:szCs w:val="24"/>
        </w:rPr>
        <w:t>2.4G WiFi/5G WiFi/WiFi Direct。</w:t>
      </w:r>
    </w:p>
    <w:p>
      <w:pPr>
        <w:tabs>
          <w:tab w:val="left" w:pos="1080"/>
        </w:tabs>
        <w:spacing w:before="78" w:beforeLines="25" w:after="78" w:afterLines="25" w:line="300" w:lineRule="auto"/>
        <w:outlineLvl w:val="2"/>
        <w:rPr>
          <w:rFonts w:ascii="黑体" w:hAnsi="黑体" w:eastAsia="黑体" w:cstheme="minorBidi"/>
          <w:bCs/>
          <w:color w:val="000000" w:themeColor="text1"/>
          <w:sz w:val="28"/>
          <w:szCs w:val="28"/>
          <w14:textFill>
            <w14:solidFill>
              <w14:schemeClr w14:val="tx1"/>
            </w14:solidFill>
          </w14:textFill>
        </w:rPr>
      </w:pPr>
      <w:r>
        <w:rPr>
          <w:rFonts w:ascii="黑体" w:hAnsi="黑体" w:eastAsia="黑体" w:cstheme="minorBidi"/>
          <w:bCs/>
          <w:color w:val="000000" w:themeColor="text1"/>
          <w:sz w:val="28"/>
          <w:szCs w:val="28"/>
          <w14:textFill>
            <w14:solidFill>
              <w14:schemeClr w14:val="tx1"/>
            </w14:solidFill>
          </w14:textFill>
        </w:rPr>
        <w:t>3</w:t>
      </w:r>
      <w:r>
        <w:rPr>
          <w:rFonts w:hint="eastAsia" w:ascii="黑体" w:hAnsi="黑体" w:eastAsia="黑体" w:cstheme="minorBidi"/>
          <w:bCs/>
          <w:color w:val="000000" w:themeColor="text1"/>
          <w:sz w:val="28"/>
          <w:szCs w:val="28"/>
          <w14:textFill>
            <w14:solidFill>
              <w14:schemeClr w14:val="tx1"/>
            </w14:solidFill>
          </w14:textFill>
        </w:rPr>
        <w:t>、</w:t>
      </w:r>
      <w:r>
        <w:rPr>
          <w:rFonts w:ascii="黑体" w:hAnsi="黑体" w:eastAsia="黑体" w:cstheme="minorBidi"/>
          <w:bCs/>
          <w:color w:val="000000" w:themeColor="text1"/>
          <w:sz w:val="28"/>
          <w:szCs w:val="28"/>
          <w14:textFill>
            <w14:solidFill>
              <w14:schemeClr w14:val="tx1"/>
            </w14:solidFill>
          </w14:textFill>
        </w:rPr>
        <w:t>赛程安排</w:t>
      </w:r>
    </w:p>
    <w:p>
      <w:pPr>
        <w:widowControl/>
        <w:spacing w:line="360" w:lineRule="auto"/>
        <w:ind w:firstLine="420"/>
        <w:rPr>
          <w:rFonts w:ascii="宋体" w:hAnsi="宋体" w:eastAsia="宋体"/>
          <w:sz w:val="24"/>
          <w:szCs w:val="24"/>
        </w:rPr>
      </w:pPr>
      <w:r>
        <w:rPr>
          <w:rFonts w:hint="eastAsia" w:ascii="宋体" w:hAnsi="宋体" w:eastAsia="宋体"/>
          <w:sz w:val="24"/>
          <w:szCs w:val="24"/>
        </w:rPr>
        <w:t>企业运营仿真竞赛由企业运营仿真竞赛初赛（简称：初赛）和企业运营仿真竞赛决赛（简称：决赛）组成，进行两年八个季度的虚拟企业运营，初赛和决赛的虚拟企业运营的背景参数不同。根据初赛成绩，取排名前50%左右的参赛队进入决赛，</w:t>
      </w:r>
      <w:r>
        <w:rPr>
          <w:rFonts w:ascii="宋体" w:hAnsi="宋体" w:eastAsia="宋体"/>
          <w:sz w:val="24"/>
          <w:szCs w:val="24"/>
        </w:rPr>
        <w:t>，初赛成绩</w:t>
      </w:r>
      <w:r>
        <w:rPr>
          <w:rFonts w:hint="eastAsia" w:ascii="宋体" w:hAnsi="宋体" w:eastAsia="宋体"/>
          <w:sz w:val="24"/>
          <w:szCs w:val="24"/>
        </w:rPr>
        <w:t>不带入决赛。</w:t>
      </w:r>
    </w:p>
    <w:p>
      <w:pPr>
        <w:widowControl/>
        <w:spacing w:line="360" w:lineRule="auto"/>
        <w:ind w:firstLine="420"/>
        <w:rPr>
          <w:rFonts w:ascii="宋体" w:hAnsi="宋体" w:eastAsia="宋体"/>
          <w:sz w:val="24"/>
          <w:szCs w:val="24"/>
        </w:rPr>
      </w:pPr>
      <w:r>
        <w:rPr>
          <w:rFonts w:hint="eastAsia" w:ascii="宋体" w:hAnsi="宋体" w:eastAsia="宋体"/>
          <w:sz w:val="24"/>
          <w:szCs w:val="24"/>
        </w:rPr>
        <w:t>各竞赛</w:t>
      </w:r>
      <w:r>
        <w:rPr>
          <w:rFonts w:ascii="宋体" w:hAnsi="宋体" w:eastAsia="宋体"/>
          <w:sz w:val="24"/>
          <w:szCs w:val="24"/>
        </w:rPr>
        <w:t>环节如表12所示。</w:t>
      </w:r>
    </w:p>
    <w:p>
      <w:pPr>
        <w:adjustRightInd w:val="0"/>
        <w:snapToGrid w:val="0"/>
        <w:spacing w:before="156" w:beforeLines="50" w:line="360" w:lineRule="auto"/>
        <w:jc w:val="center"/>
        <w:rPr>
          <w:rFonts w:ascii="宋体" w:hAnsi="宋体" w:eastAsia="宋体" w:cstheme="minorBidi"/>
          <w:bCs/>
          <w:color w:val="000000" w:themeColor="text1"/>
          <w:szCs w:val="21"/>
          <w14:textFill>
            <w14:solidFill>
              <w14:schemeClr w14:val="tx1"/>
            </w14:solidFill>
          </w14:textFill>
        </w:rPr>
      </w:pPr>
      <w:r>
        <w:rPr>
          <w:rFonts w:ascii="宋体" w:hAnsi="宋体" w:eastAsia="宋体" w:cstheme="minorBidi"/>
          <w:bCs/>
          <w:color w:val="000000" w:themeColor="text1"/>
          <w:szCs w:val="21"/>
          <w14:textFill>
            <w14:solidFill>
              <w14:schemeClr w14:val="tx1"/>
            </w14:solidFill>
          </w14:textFill>
        </w:rPr>
        <w:t>表</w:t>
      </w:r>
      <w:r>
        <w:rPr>
          <w:rFonts w:hint="eastAsia" w:ascii="宋体" w:hAnsi="宋体" w:eastAsia="宋体" w:cstheme="minorBidi"/>
          <w:bCs/>
          <w:color w:val="000000" w:themeColor="text1"/>
          <w:szCs w:val="21"/>
          <w:lang w:val="en-US" w:eastAsia="zh-CN"/>
          <w14:textFill>
            <w14:solidFill>
              <w14:schemeClr w14:val="tx1"/>
            </w14:solidFill>
          </w14:textFill>
        </w:rPr>
        <w:t>12</w:t>
      </w:r>
      <w:r>
        <w:rPr>
          <w:rFonts w:ascii="宋体" w:hAnsi="宋体" w:eastAsia="宋体" w:cstheme="minorBidi"/>
          <w:bCs/>
          <w:color w:val="000000" w:themeColor="text1"/>
          <w:szCs w:val="21"/>
          <w14:textFill>
            <w14:solidFill>
              <w14:schemeClr w14:val="tx1"/>
            </w14:solidFill>
          </w14:textFill>
        </w:rPr>
        <w:t xml:space="preserve"> </w:t>
      </w:r>
      <w:r>
        <w:rPr>
          <w:rFonts w:hint="eastAsia" w:ascii="宋体" w:hAnsi="宋体" w:eastAsia="宋体" w:cstheme="minorBidi"/>
          <w:bCs/>
          <w:color w:val="000000" w:themeColor="text1"/>
          <w:szCs w:val="21"/>
          <w14:textFill>
            <w14:solidFill>
              <w14:schemeClr w14:val="tx1"/>
            </w14:solidFill>
          </w14:textFill>
        </w:rPr>
        <w:t>企业</w:t>
      </w:r>
      <w:r>
        <w:rPr>
          <w:rFonts w:ascii="宋体" w:hAnsi="宋体" w:eastAsia="宋体" w:cstheme="minorBidi"/>
          <w:bCs/>
          <w:color w:val="000000" w:themeColor="text1"/>
          <w:szCs w:val="21"/>
          <w14:textFill>
            <w14:solidFill>
              <w14:schemeClr w14:val="tx1"/>
            </w14:solidFill>
          </w14:textFill>
        </w:rPr>
        <w:t>运营仿真赛项各环节</w:t>
      </w:r>
    </w:p>
    <w:tbl>
      <w:tblPr>
        <w:tblStyle w:val="14"/>
        <w:tblW w:w="6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687"/>
        <w:gridCol w:w="1406"/>
        <w:gridCol w:w="2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86" w:type="dxa"/>
            <w:vAlign w:val="center"/>
          </w:tcPr>
          <w:p>
            <w:pPr>
              <w:tabs>
                <w:tab w:val="left" w:pos="1620"/>
              </w:tabs>
              <w:spacing w:line="360" w:lineRule="auto"/>
              <w:ind w:firstLine="15" w:firstLineChars="7"/>
              <w:jc w:val="center"/>
              <w:rPr>
                <w:rFonts w:ascii="宋体" w:hAnsi="宋体"/>
                <w:b/>
                <w:bCs/>
                <w:szCs w:val="21"/>
              </w:rPr>
            </w:pPr>
            <w:r>
              <w:rPr>
                <w:rFonts w:hint="eastAsia" w:ascii="宋体" w:hAnsi="宋体"/>
                <w:b/>
                <w:bCs/>
                <w:szCs w:val="21"/>
              </w:rPr>
              <w:t>序号</w:t>
            </w:r>
          </w:p>
        </w:tc>
        <w:tc>
          <w:tcPr>
            <w:tcW w:w="1687" w:type="dxa"/>
            <w:vAlign w:val="center"/>
          </w:tcPr>
          <w:p>
            <w:pPr>
              <w:tabs>
                <w:tab w:val="left" w:pos="1620"/>
              </w:tabs>
              <w:spacing w:line="360" w:lineRule="auto"/>
              <w:ind w:firstLine="15" w:firstLineChars="7"/>
              <w:jc w:val="center"/>
              <w:rPr>
                <w:rFonts w:ascii="宋体" w:hAnsi="宋体"/>
                <w:b/>
                <w:bCs/>
                <w:szCs w:val="21"/>
              </w:rPr>
            </w:pPr>
            <w:r>
              <w:rPr>
                <w:rFonts w:hint="eastAsia" w:ascii="宋体" w:hAnsi="宋体"/>
                <w:b/>
                <w:bCs/>
                <w:szCs w:val="21"/>
              </w:rPr>
              <w:t>环节</w:t>
            </w:r>
          </w:p>
        </w:tc>
        <w:tc>
          <w:tcPr>
            <w:tcW w:w="1406" w:type="dxa"/>
            <w:vAlign w:val="center"/>
          </w:tcPr>
          <w:p>
            <w:pPr>
              <w:tabs>
                <w:tab w:val="left" w:pos="1620"/>
              </w:tabs>
              <w:spacing w:line="360" w:lineRule="auto"/>
              <w:jc w:val="center"/>
              <w:rPr>
                <w:rFonts w:ascii="宋体" w:hAnsi="宋体"/>
                <w:b/>
                <w:bCs/>
                <w:szCs w:val="21"/>
              </w:rPr>
            </w:pPr>
            <w:r>
              <w:rPr>
                <w:rFonts w:hint="eastAsia" w:ascii="宋体" w:hAnsi="宋体"/>
                <w:b/>
                <w:bCs/>
                <w:szCs w:val="21"/>
              </w:rPr>
              <w:t>赛程</w:t>
            </w:r>
          </w:p>
        </w:tc>
        <w:tc>
          <w:tcPr>
            <w:tcW w:w="2725" w:type="dxa"/>
            <w:vAlign w:val="center"/>
          </w:tcPr>
          <w:p>
            <w:pPr>
              <w:tabs>
                <w:tab w:val="left" w:pos="1620"/>
              </w:tabs>
              <w:spacing w:line="360" w:lineRule="auto"/>
              <w:ind w:firstLine="15" w:firstLineChars="7"/>
              <w:jc w:val="center"/>
              <w:rPr>
                <w:rFonts w:ascii="宋体" w:hAnsi="宋体"/>
                <w:b/>
                <w:bCs/>
                <w:szCs w:val="21"/>
              </w:rPr>
            </w:pPr>
            <w:r>
              <w:rPr>
                <w:rFonts w:hint="eastAsia" w:ascii="宋体" w:hAnsi="宋体"/>
                <w:b/>
                <w:bCs/>
                <w:szCs w:val="21"/>
              </w:rPr>
              <w:t>评分项目</w:t>
            </w:r>
            <w:r>
              <w:rPr>
                <w:rFonts w:ascii="宋体" w:hAnsi="宋体"/>
                <w:b/>
                <w:bCs/>
                <w:szCs w:val="21"/>
              </w:rPr>
              <w:t>/赛程内容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86" w:type="dxa"/>
            <w:vAlign w:val="center"/>
          </w:tcPr>
          <w:p>
            <w:pPr>
              <w:tabs>
                <w:tab w:val="left" w:pos="1620"/>
              </w:tabs>
              <w:spacing w:line="360" w:lineRule="auto"/>
              <w:ind w:firstLine="14" w:firstLineChars="7"/>
              <w:jc w:val="center"/>
              <w:rPr>
                <w:rFonts w:ascii="宋体" w:hAnsi="宋体"/>
                <w:bCs/>
                <w:szCs w:val="21"/>
              </w:rPr>
            </w:pPr>
            <w:r>
              <w:rPr>
                <w:rFonts w:ascii="宋体" w:hAnsi="宋体"/>
                <w:bCs/>
                <w:szCs w:val="21"/>
              </w:rPr>
              <w:t>1</w:t>
            </w:r>
          </w:p>
        </w:tc>
        <w:tc>
          <w:tcPr>
            <w:tcW w:w="1687" w:type="dxa"/>
            <w:vAlign w:val="center"/>
          </w:tcPr>
          <w:p>
            <w:pPr>
              <w:tabs>
                <w:tab w:val="left" w:pos="1620"/>
              </w:tabs>
              <w:spacing w:line="360" w:lineRule="auto"/>
              <w:ind w:firstLine="14" w:firstLineChars="7"/>
              <w:jc w:val="center"/>
              <w:rPr>
                <w:rFonts w:ascii="宋体" w:hAnsi="宋体"/>
                <w:bCs/>
                <w:szCs w:val="21"/>
              </w:rPr>
            </w:pPr>
            <w:r>
              <w:rPr>
                <w:rFonts w:ascii="宋体" w:hAnsi="宋体"/>
                <w:bCs/>
                <w:szCs w:val="21"/>
              </w:rPr>
              <w:t>第</w:t>
            </w:r>
            <w:r>
              <w:rPr>
                <w:rFonts w:hint="eastAsia" w:ascii="宋体" w:hAnsi="宋体"/>
                <w:bCs/>
                <w:szCs w:val="21"/>
              </w:rPr>
              <w:t>一</w:t>
            </w:r>
            <w:r>
              <w:rPr>
                <w:rFonts w:ascii="宋体" w:hAnsi="宋体"/>
                <w:bCs/>
                <w:szCs w:val="21"/>
              </w:rPr>
              <w:t>环节</w:t>
            </w:r>
          </w:p>
        </w:tc>
        <w:tc>
          <w:tcPr>
            <w:tcW w:w="1406" w:type="dxa"/>
            <w:vAlign w:val="center"/>
          </w:tcPr>
          <w:p>
            <w:pPr>
              <w:tabs>
                <w:tab w:val="left" w:pos="1620"/>
              </w:tabs>
              <w:spacing w:line="360" w:lineRule="auto"/>
              <w:ind w:firstLine="14" w:firstLineChars="7"/>
              <w:jc w:val="center"/>
              <w:rPr>
                <w:rFonts w:ascii="宋体" w:hAnsi="宋体"/>
                <w:bCs/>
                <w:szCs w:val="21"/>
              </w:rPr>
            </w:pPr>
            <w:r>
              <w:rPr>
                <w:rFonts w:hint="eastAsia" w:ascii="宋体" w:hAnsi="宋体"/>
                <w:bCs/>
                <w:szCs w:val="21"/>
              </w:rPr>
              <w:t>初赛</w:t>
            </w:r>
          </w:p>
        </w:tc>
        <w:tc>
          <w:tcPr>
            <w:tcW w:w="2725" w:type="dxa"/>
            <w:vAlign w:val="center"/>
          </w:tcPr>
          <w:p>
            <w:pPr>
              <w:tabs>
                <w:tab w:val="left" w:pos="1620"/>
              </w:tabs>
              <w:spacing w:line="360" w:lineRule="auto"/>
              <w:ind w:firstLine="14" w:firstLineChars="7"/>
              <w:jc w:val="center"/>
              <w:rPr>
                <w:rFonts w:ascii="宋体" w:hAnsi="宋体"/>
                <w:bCs/>
                <w:szCs w:val="21"/>
              </w:rPr>
            </w:pPr>
            <w:r>
              <w:rPr>
                <w:rFonts w:hint="eastAsia" w:ascii="宋体" w:hAnsi="宋体"/>
                <w:bCs/>
                <w:szCs w:val="21"/>
              </w:rPr>
              <w:t>企业数字化模拟运营（</w:t>
            </w:r>
            <w:r>
              <w:rPr>
                <w:rFonts w:ascii="宋体" w:hAnsi="宋体"/>
                <w:bCs/>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04" w:type="dxa"/>
            <w:gridSpan w:val="4"/>
            <w:vAlign w:val="center"/>
          </w:tcPr>
          <w:p>
            <w:pPr>
              <w:tabs>
                <w:tab w:val="left" w:pos="1620"/>
              </w:tabs>
              <w:spacing w:line="360" w:lineRule="auto"/>
              <w:ind w:firstLine="14" w:firstLineChars="7"/>
              <w:jc w:val="center"/>
              <w:rPr>
                <w:rFonts w:ascii="宋体" w:hAnsi="宋体"/>
                <w:bCs/>
                <w:szCs w:val="21"/>
              </w:rPr>
            </w:pPr>
            <w:r>
              <w:rPr>
                <w:rFonts w:ascii="宋体" w:hAnsi="宋体"/>
                <w:bCs/>
                <w:szCs w:val="21"/>
              </w:rPr>
              <w:t>说明：</w:t>
            </w:r>
            <w:r>
              <w:rPr>
                <w:rFonts w:hint="eastAsia" w:ascii="宋体" w:hAnsi="宋体"/>
                <w:bCs/>
                <w:szCs w:val="21"/>
              </w:rPr>
              <w:t>产生</w:t>
            </w:r>
            <w:r>
              <w:rPr>
                <w:rFonts w:ascii="宋体" w:hAnsi="宋体"/>
                <w:bCs/>
                <w:szCs w:val="21"/>
              </w:rPr>
              <w:t>决赛名单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086" w:type="dxa"/>
            <w:vAlign w:val="center"/>
          </w:tcPr>
          <w:p>
            <w:pPr>
              <w:tabs>
                <w:tab w:val="left" w:pos="1620"/>
              </w:tabs>
              <w:spacing w:line="360" w:lineRule="auto"/>
              <w:ind w:firstLine="14" w:firstLineChars="7"/>
              <w:jc w:val="center"/>
              <w:rPr>
                <w:rFonts w:ascii="宋体" w:hAnsi="宋体"/>
                <w:bCs/>
                <w:szCs w:val="21"/>
              </w:rPr>
            </w:pPr>
            <w:r>
              <w:rPr>
                <w:rFonts w:ascii="宋体" w:hAnsi="宋体"/>
                <w:bCs/>
                <w:szCs w:val="21"/>
              </w:rPr>
              <w:t>2</w:t>
            </w:r>
          </w:p>
        </w:tc>
        <w:tc>
          <w:tcPr>
            <w:tcW w:w="1687" w:type="dxa"/>
            <w:vAlign w:val="center"/>
          </w:tcPr>
          <w:p>
            <w:pPr>
              <w:tabs>
                <w:tab w:val="left" w:pos="1620"/>
              </w:tabs>
              <w:spacing w:line="360" w:lineRule="auto"/>
              <w:ind w:firstLine="14" w:firstLineChars="7"/>
              <w:jc w:val="center"/>
              <w:rPr>
                <w:rFonts w:ascii="宋体" w:hAnsi="宋体"/>
                <w:bCs/>
                <w:szCs w:val="21"/>
              </w:rPr>
            </w:pPr>
            <w:r>
              <w:rPr>
                <w:rFonts w:hint="eastAsia" w:ascii="宋体" w:hAnsi="宋体"/>
                <w:bCs/>
                <w:szCs w:val="21"/>
              </w:rPr>
              <w:t>第二环节</w:t>
            </w:r>
          </w:p>
        </w:tc>
        <w:tc>
          <w:tcPr>
            <w:tcW w:w="1406" w:type="dxa"/>
            <w:vAlign w:val="center"/>
          </w:tcPr>
          <w:p>
            <w:pPr>
              <w:tabs>
                <w:tab w:val="left" w:pos="1620"/>
              </w:tabs>
              <w:spacing w:line="360" w:lineRule="auto"/>
              <w:jc w:val="center"/>
              <w:rPr>
                <w:rFonts w:ascii="宋体" w:hAnsi="宋体"/>
                <w:bCs/>
                <w:szCs w:val="21"/>
              </w:rPr>
            </w:pPr>
            <w:r>
              <w:rPr>
                <w:rFonts w:ascii="宋体" w:hAnsi="宋体"/>
                <w:bCs/>
                <w:szCs w:val="21"/>
              </w:rPr>
              <w:t>决赛</w:t>
            </w:r>
          </w:p>
        </w:tc>
        <w:tc>
          <w:tcPr>
            <w:tcW w:w="2725" w:type="dxa"/>
            <w:vAlign w:val="center"/>
          </w:tcPr>
          <w:p>
            <w:pPr>
              <w:tabs>
                <w:tab w:val="left" w:pos="1620"/>
              </w:tabs>
              <w:spacing w:line="360" w:lineRule="auto"/>
              <w:ind w:firstLine="14" w:firstLineChars="7"/>
              <w:jc w:val="center"/>
              <w:rPr>
                <w:rFonts w:ascii="宋体" w:hAnsi="宋体"/>
                <w:bCs/>
                <w:szCs w:val="21"/>
              </w:rPr>
            </w:pPr>
            <w:r>
              <w:rPr>
                <w:rFonts w:hint="eastAsia" w:ascii="宋体" w:hAnsi="宋体"/>
                <w:bCs/>
                <w:szCs w:val="21"/>
              </w:rPr>
              <w:t>企业数字化模拟运营（</w:t>
            </w:r>
            <w:r>
              <w:rPr>
                <w:rFonts w:ascii="宋体" w:hAnsi="宋体"/>
                <w:bCs/>
                <w:szCs w:val="21"/>
              </w:rPr>
              <w:t>2）</w:t>
            </w:r>
          </w:p>
        </w:tc>
      </w:tr>
    </w:tbl>
    <w:p>
      <w:pPr>
        <w:tabs>
          <w:tab w:val="left" w:pos="1080"/>
        </w:tabs>
        <w:spacing w:before="78" w:beforeLines="25" w:after="78" w:afterLines="25" w:line="300" w:lineRule="auto"/>
        <w:outlineLvl w:val="2"/>
        <w:rPr>
          <w:rFonts w:ascii="黑体" w:hAnsi="黑体" w:eastAsia="黑体" w:cstheme="minorBidi"/>
          <w:bCs/>
          <w:color w:val="000000" w:themeColor="text1"/>
          <w:sz w:val="28"/>
          <w:szCs w:val="28"/>
          <w14:textFill>
            <w14:solidFill>
              <w14:schemeClr w14:val="tx1"/>
            </w14:solidFill>
          </w14:textFill>
        </w:rPr>
      </w:pPr>
      <w:r>
        <w:rPr>
          <w:rFonts w:ascii="黑体" w:hAnsi="黑体" w:eastAsia="黑体" w:cstheme="minorBidi"/>
          <w:bCs/>
          <w:color w:val="000000" w:themeColor="text1"/>
          <w:sz w:val="28"/>
          <w:szCs w:val="28"/>
          <w14:textFill>
            <w14:solidFill>
              <w14:schemeClr w14:val="tx1"/>
            </w14:solidFill>
          </w14:textFill>
        </w:rPr>
        <w:t>4、</w:t>
      </w:r>
      <w:r>
        <w:rPr>
          <w:rFonts w:hint="eastAsia" w:ascii="黑体" w:hAnsi="黑体" w:eastAsia="黑体" w:cstheme="minorBidi"/>
          <w:bCs/>
          <w:color w:val="000000" w:themeColor="text1"/>
          <w:sz w:val="28"/>
          <w:szCs w:val="28"/>
          <w14:textFill>
            <w14:solidFill>
              <w14:schemeClr w14:val="tx1"/>
            </w14:solidFill>
          </w14:textFill>
        </w:rPr>
        <w:t>竞赛</w:t>
      </w:r>
      <w:r>
        <w:rPr>
          <w:rFonts w:ascii="黑体" w:hAnsi="黑体" w:eastAsia="黑体" w:cstheme="minorBidi"/>
          <w:bCs/>
          <w:color w:val="000000" w:themeColor="text1"/>
          <w:sz w:val="28"/>
          <w:szCs w:val="28"/>
          <w14:textFill>
            <w14:solidFill>
              <w14:schemeClr w14:val="tx1"/>
            </w14:solidFill>
          </w14:textFill>
        </w:rPr>
        <w:t>具体要求</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1）</w:t>
      </w:r>
      <w:r>
        <w:rPr>
          <w:rFonts w:hint="eastAsia" w:ascii="宋体" w:hAnsi="宋体" w:eastAsia="宋体"/>
          <w:b/>
          <w:bCs/>
          <w:color w:val="000000" w:themeColor="text1"/>
          <w:sz w:val="28"/>
          <w:szCs w:val="28"/>
          <w14:textFill>
            <w14:solidFill>
              <w14:schemeClr w14:val="tx1"/>
            </w14:solidFill>
          </w14:textFill>
        </w:rPr>
        <w:t>初赛</w:t>
      </w:r>
    </w:p>
    <w:p>
      <w:pPr>
        <w:widowControl/>
        <w:spacing w:line="360" w:lineRule="auto"/>
        <w:ind w:firstLine="420"/>
        <w:rPr>
          <w:rFonts w:ascii="宋体" w:hAnsi="宋体" w:eastAsia="宋体"/>
          <w:sz w:val="24"/>
          <w:szCs w:val="24"/>
        </w:rPr>
      </w:pPr>
      <w:r>
        <w:rPr>
          <w:rFonts w:ascii="宋体" w:hAnsi="宋体" w:eastAsia="宋体"/>
          <w:sz w:val="24"/>
          <w:szCs w:val="24"/>
        </w:rPr>
        <w:t>现场抽签决定各参赛队赛场的分组。</w:t>
      </w:r>
    </w:p>
    <w:p>
      <w:pPr>
        <w:widowControl/>
        <w:spacing w:line="360" w:lineRule="auto"/>
        <w:ind w:firstLine="420"/>
        <w:rPr>
          <w:rFonts w:ascii="宋体" w:hAnsi="宋体" w:eastAsia="宋体"/>
          <w:sz w:val="24"/>
          <w:szCs w:val="24"/>
        </w:rPr>
      </w:pPr>
      <w:r>
        <w:rPr>
          <w:rFonts w:hint="eastAsia" w:ascii="宋体" w:hAnsi="宋体" w:eastAsia="宋体"/>
          <w:sz w:val="24"/>
          <w:szCs w:val="24"/>
        </w:rPr>
        <w:t>参赛队组建经营团队，在竞赛平台上，创建一家生产制造型虚拟企业，模拟该企业两年八个季度的数字化经营过程。在企业运营过程中，参赛队应充分考虑企业的外部环境和内部运营状况，收集整理分析企业运用数据，形成企业数字化资源，为企业长期运营提供数据支撑，提高企业数字化运营水平；同时，运用绿色低碳思维，不断制定和优化企业运营决策，降低企业运营风险，实现企业绿色可持续发展的经营目标。</w:t>
      </w:r>
    </w:p>
    <w:p>
      <w:pPr>
        <w:widowControl/>
        <w:spacing w:line="360" w:lineRule="auto"/>
        <w:ind w:firstLine="420"/>
        <w:rPr>
          <w:rFonts w:ascii="宋体" w:hAnsi="宋体" w:eastAsia="宋体"/>
          <w:sz w:val="24"/>
          <w:szCs w:val="24"/>
        </w:rPr>
      </w:pPr>
      <w:r>
        <w:rPr>
          <w:rFonts w:ascii="宋体" w:hAnsi="宋体" w:eastAsia="宋体"/>
          <w:sz w:val="24"/>
          <w:szCs w:val="24"/>
        </w:rPr>
        <w:t>在</w:t>
      </w:r>
      <w:r>
        <w:rPr>
          <w:rFonts w:hint="eastAsia" w:ascii="宋体" w:hAnsi="宋体" w:eastAsia="宋体"/>
          <w:sz w:val="24"/>
          <w:szCs w:val="24"/>
        </w:rPr>
        <w:t>企业模拟</w:t>
      </w:r>
      <w:r>
        <w:rPr>
          <w:rFonts w:ascii="宋体" w:hAnsi="宋体" w:eastAsia="宋体"/>
          <w:sz w:val="24"/>
          <w:szCs w:val="24"/>
        </w:rPr>
        <w:t>运营过程</w:t>
      </w:r>
      <w:r>
        <w:rPr>
          <w:rFonts w:hint="eastAsia" w:ascii="宋体" w:hAnsi="宋体" w:eastAsia="宋体"/>
          <w:sz w:val="24"/>
          <w:szCs w:val="24"/>
        </w:rPr>
        <w:t>中，通过</w:t>
      </w:r>
      <w:r>
        <w:rPr>
          <w:rFonts w:ascii="宋体" w:hAnsi="宋体" w:eastAsia="宋体"/>
          <w:sz w:val="24"/>
          <w:szCs w:val="24"/>
        </w:rPr>
        <w:t>数据采集、分析与比较，综合</w:t>
      </w:r>
      <w:r>
        <w:rPr>
          <w:rFonts w:hint="eastAsia" w:ascii="宋体" w:hAnsi="宋体" w:eastAsia="宋体"/>
          <w:sz w:val="24"/>
          <w:szCs w:val="24"/>
        </w:rPr>
        <w:t>考查</w:t>
      </w:r>
      <w:r>
        <w:rPr>
          <w:rFonts w:ascii="宋体" w:hAnsi="宋体" w:eastAsia="宋体"/>
          <w:sz w:val="24"/>
          <w:szCs w:val="24"/>
        </w:rPr>
        <w:t>参赛队</w:t>
      </w:r>
      <w:r>
        <w:rPr>
          <w:rFonts w:hint="eastAsia" w:ascii="宋体" w:hAnsi="宋体" w:eastAsia="宋体"/>
          <w:sz w:val="24"/>
          <w:szCs w:val="24"/>
        </w:rPr>
        <w:t>发现机遇、洞察问题、分析问题、制定决策、执行决策及解决问题的能力。</w:t>
      </w:r>
    </w:p>
    <w:p>
      <w:pPr>
        <w:widowControl/>
        <w:spacing w:line="360" w:lineRule="auto"/>
        <w:ind w:firstLine="420"/>
        <w:rPr>
          <w:rFonts w:ascii="宋体" w:hAnsi="宋体" w:eastAsia="宋体"/>
          <w:sz w:val="24"/>
          <w:szCs w:val="24"/>
        </w:rPr>
      </w:pPr>
      <w:r>
        <w:rPr>
          <w:rFonts w:ascii="宋体" w:hAnsi="宋体" w:eastAsia="宋体"/>
          <w:sz w:val="24"/>
          <w:szCs w:val="24"/>
        </w:rPr>
        <w:t>运营成绩</w:t>
      </w:r>
      <w:r>
        <w:rPr>
          <w:rFonts w:hint="eastAsia" w:ascii="宋体" w:hAnsi="宋体" w:eastAsia="宋体"/>
          <w:sz w:val="24"/>
          <w:szCs w:val="24"/>
        </w:rPr>
        <w:t>由</w:t>
      </w:r>
      <w:r>
        <w:rPr>
          <w:rFonts w:ascii="宋体" w:hAnsi="宋体" w:eastAsia="宋体"/>
          <w:sz w:val="24"/>
          <w:szCs w:val="24"/>
        </w:rPr>
        <w:t>系统自动评判，</w:t>
      </w:r>
      <w:r>
        <w:rPr>
          <w:rFonts w:hint="eastAsia" w:ascii="宋体" w:hAnsi="宋体" w:eastAsia="宋体"/>
          <w:sz w:val="24"/>
          <w:szCs w:val="24"/>
        </w:rPr>
        <w:t>以初赛成绩排名选出参加决赛的参赛队。</w:t>
      </w:r>
    </w:p>
    <w:p>
      <w:pPr>
        <w:tabs>
          <w:tab w:val="left" w:pos="1620"/>
        </w:tabs>
        <w:spacing w:before="78" w:beforeLines="25" w:after="78" w:afterLines="25" w:line="300" w:lineRule="auto"/>
        <w:rPr>
          <w:rFonts w:ascii="宋体" w:hAnsi="宋体" w:eastAsia="宋体"/>
          <w:b/>
          <w:bCs/>
          <w:color w:val="000000" w:themeColor="text1"/>
          <w:sz w:val="28"/>
          <w:szCs w:val="28"/>
          <w14:textFill>
            <w14:solidFill>
              <w14:schemeClr w14:val="tx1"/>
            </w14:solidFill>
          </w14:textFill>
        </w:rPr>
      </w:pPr>
      <w:r>
        <w:rPr>
          <w:rFonts w:ascii="宋体" w:hAnsi="宋体" w:eastAsia="宋体"/>
          <w:b/>
          <w:bCs/>
          <w:color w:val="000000" w:themeColor="text1"/>
          <w:sz w:val="28"/>
          <w:szCs w:val="28"/>
          <w14:textFill>
            <w14:solidFill>
              <w14:schemeClr w14:val="tx1"/>
            </w14:solidFill>
          </w14:textFill>
        </w:rPr>
        <w:t>2）决赛</w:t>
      </w:r>
    </w:p>
    <w:p>
      <w:pPr>
        <w:widowControl/>
        <w:spacing w:line="360" w:lineRule="auto"/>
        <w:ind w:firstLine="420"/>
        <w:rPr>
          <w:rFonts w:ascii="宋体" w:hAnsi="宋体" w:eastAsia="宋体"/>
          <w:sz w:val="24"/>
          <w:szCs w:val="24"/>
        </w:rPr>
      </w:pPr>
      <w:r>
        <w:rPr>
          <w:rFonts w:ascii="宋体" w:hAnsi="宋体" w:eastAsia="宋体"/>
          <w:sz w:val="24"/>
          <w:szCs w:val="24"/>
        </w:rPr>
        <w:t>现场抽签决定各参赛队赛场的分组</w:t>
      </w:r>
      <w:r>
        <w:rPr>
          <w:rFonts w:hint="eastAsia" w:ascii="宋体" w:hAnsi="宋体" w:eastAsia="宋体"/>
          <w:sz w:val="24"/>
          <w:szCs w:val="24"/>
        </w:rPr>
        <w:t>。</w:t>
      </w:r>
    </w:p>
    <w:p>
      <w:pPr>
        <w:widowControl/>
        <w:spacing w:line="360" w:lineRule="auto"/>
        <w:ind w:firstLine="420"/>
        <w:rPr>
          <w:rFonts w:ascii="宋体" w:hAnsi="宋体" w:eastAsia="宋体"/>
        </w:rPr>
      </w:pPr>
      <w:r>
        <w:rPr>
          <w:rFonts w:hint="eastAsia" w:ascii="宋体" w:hAnsi="宋体" w:eastAsia="宋体"/>
          <w:sz w:val="24"/>
          <w:szCs w:val="24"/>
        </w:rPr>
        <w:t>进行新一轮虚拟企业（竞赛背景参数变化）两年八个季度的经营过程，决赛规则与初赛相同。</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3287092"/>
      <w:docPartObj>
        <w:docPartGallery w:val="autotext"/>
      </w:docPartObj>
    </w:sdtPr>
    <w:sdtContent>
      <w:p>
        <w:pPr>
          <w:pStyle w:val="10"/>
          <w:jc w:val="center"/>
        </w:pPr>
        <w:r>
          <w:fldChar w:fldCharType="begin"/>
        </w:r>
        <w:r>
          <w:instrText xml:space="preserve">PAGE   \* MERGEFORMAT</w:instrText>
        </w:r>
        <w:r>
          <w:fldChar w:fldCharType="separate"/>
        </w:r>
        <w:r>
          <w:rPr>
            <w:lang w:val="zh-CN"/>
          </w:rPr>
          <w:t>18</w:t>
        </w:r>
        <w: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1630E2"/>
    <w:multiLevelType w:val="multilevel"/>
    <w:tmpl w:val="621630E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lODEyMWU0MzhjNjQ0NDdlODIzNzdkMTYxMjliNWEifQ=="/>
  </w:docVars>
  <w:rsids>
    <w:rsidRoot w:val="0068441C"/>
    <w:rsid w:val="00007E8C"/>
    <w:rsid w:val="00033EA2"/>
    <w:rsid w:val="0006302A"/>
    <w:rsid w:val="000927C1"/>
    <w:rsid w:val="000C0201"/>
    <w:rsid w:val="000C76B4"/>
    <w:rsid w:val="000D36E5"/>
    <w:rsid w:val="000E0E58"/>
    <w:rsid w:val="000E4AE3"/>
    <w:rsid w:val="0010178C"/>
    <w:rsid w:val="00157830"/>
    <w:rsid w:val="00162F5F"/>
    <w:rsid w:val="00172486"/>
    <w:rsid w:val="00193CEA"/>
    <w:rsid w:val="001964E1"/>
    <w:rsid w:val="001A1EEF"/>
    <w:rsid w:val="001A2FE4"/>
    <w:rsid w:val="001A6BE2"/>
    <w:rsid w:val="001B711A"/>
    <w:rsid w:val="001C48F5"/>
    <w:rsid w:val="001C7388"/>
    <w:rsid w:val="001D5EBA"/>
    <w:rsid w:val="001E35DB"/>
    <w:rsid w:val="0020598E"/>
    <w:rsid w:val="002127A3"/>
    <w:rsid w:val="00216A04"/>
    <w:rsid w:val="00224C89"/>
    <w:rsid w:val="00231AEA"/>
    <w:rsid w:val="00241CBB"/>
    <w:rsid w:val="002467AA"/>
    <w:rsid w:val="00290B03"/>
    <w:rsid w:val="002E02D1"/>
    <w:rsid w:val="0031251E"/>
    <w:rsid w:val="00331880"/>
    <w:rsid w:val="00361479"/>
    <w:rsid w:val="0036187F"/>
    <w:rsid w:val="00365823"/>
    <w:rsid w:val="003674ED"/>
    <w:rsid w:val="003735CF"/>
    <w:rsid w:val="003770DC"/>
    <w:rsid w:val="003B5997"/>
    <w:rsid w:val="003B699C"/>
    <w:rsid w:val="003C1314"/>
    <w:rsid w:val="003C43A4"/>
    <w:rsid w:val="003D13BF"/>
    <w:rsid w:val="003D1BF3"/>
    <w:rsid w:val="003D22E4"/>
    <w:rsid w:val="003D2CE5"/>
    <w:rsid w:val="003E2516"/>
    <w:rsid w:val="003F2F64"/>
    <w:rsid w:val="003F40E4"/>
    <w:rsid w:val="003F7167"/>
    <w:rsid w:val="00401AD0"/>
    <w:rsid w:val="004031B6"/>
    <w:rsid w:val="00422658"/>
    <w:rsid w:val="00437CFB"/>
    <w:rsid w:val="00443E31"/>
    <w:rsid w:val="00444D00"/>
    <w:rsid w:val="0046626F"/>
    <w:rsid w:val="00470201"/>
    <w:rsid w:val="0047524A"/>
    <w:rsid w:val="0049276B"/>
    <w:rsid w:val="004A16DE"/>
    <w:rsid w:val="004F0B3E"/>
    <w:rsid w:val="00540DDF"/>
    <w:rsid w:val="005729C1"/>
    <w:rsid w:val="00595F9B"/>
    <w:rsid w:val="00596443"/>
    <w:rsid w:val="00596A68"/>
    <w:rsid w:val="005D37A2"/>
    <w:rsid w:val="0060052C"/>
    <w:rsid w:val="00622833"/>
    <w:rsid w:val="0062535A"/>
    <w:rsid w:val="006563E4"/>
    <w:rsid w:val="006645AB"/>
    <w:rsid w:val="0068441C"/>
    <w:rsid w:val="00685989"/>
    <w:rsid w:val="006878AC"/>
    <w:rsid w:val="00687A37"/>
    <w:rsid w:val="00693687"/>
    <w:rsid w:val="006C6C91"/>
    <w:rsid w:val="006F1F90"/>
    <w:rsid w:val="00713EFC"/>
    <w:rsid w:val="00714366"/>
    <w:rsid w:val="0072493A"/>
    <w:rsid w:val="0072698D"/>
    <w:rsid w:val="007312BE"/>
    <w:rsid w:val="007715BB"/>
    <w:rsid w:val="007755AE"/>
    <w:rsid w:val="00793815"/>
    <w:rsid w:val="007A1031"/>
    <w:rsid w:val="007C2F5A"/>
    <w:rsid w:val="007C7283"/>
    <w:rsid w:val="007F0212"/>
    <w:rsid w:val="008043EF"/>
    <w:rsid w:val="0081493D"/>
    <w:rsid w:val="00821331"/>
    <w:rsid w:val="00841552"/>
    <w:rsid w:val="0087092F"/>
    <w:rsid w:val="008B14B8"/>
    <w:rsid w:val="008D5E9A"/>
    <w:rsid w:val="008D7FAE"/>
    <w:rsid w:val="008E3555"/>
    <w:rsid w:val="008F0DD1"/>
    <w:rsid w:val="008F1DBD"/>
    <w:rsid w:val="00920DF1"/>
    <w:rsid w:val="0098051C"/>
    <w:rsid w:val="00992490"/>
    <w:rsid w:val="00992D0A"/>
    <w:rsid w:val="009A3732"/>
    <w:rsid w:val="009B192C"/>
    <w:rsid w:val="009B2EBD"/>
    <w:rsid w:val="009C7BE5"/>
    <w:rsid w:val="009E5451"/>
    <w:rsid w:val="009E627A"/>
    <w:rsid w:val="009F14C8"/>
    <w:rsid w:val="00A13319"/>
    <w:rsid w:val="00A5308B"/>
    <w:rsid w:val="00A6736E"/>
    <w:rsid w:val="00A708AF"/>
    <w:rsid w:val="00A74D38"/>
    <w:rsid w:val="00A75682"/>
    <w:rsid w:val="00A92FD2"/>
    <w:rsid w:val="00AA509D"/>
    <w:rsid w:val="00AD1A7A"/>
    <w:rsid w:val="00AD6026"/>
    <w:rsid w:val="00B04961"/>
    <w:rsid w:val="00B1170F"/>
    <w:rsid w:val="00B1615D"/>
    <w:rsid w:val="00B3184F"/>
    <w:rsid w:val="00B361FF"/>
    <w:rsid w:val="00B47CC4"/>
    <w:rsid w:val="00B540D7"/>
    <w:rsid w:val="00B622AF"/>
    <w:rsid w:val="00B7313E"/>
    <w:rsid w:val="00B8417A"/>
    <w:rsid w:val="00B947C1"/>
    <w:rsid w:val="00B94C45"/>
    <w:rsid w:val="00BA70C0"/>
    <w:rsid w:val="00BC6CAE"/>
    <w:rsid w:val="00BD393F"/>
    <w:rsid w:val="00C10E73"/>
    <w:rsid w:val="00C24EF4"/>
    <w:rsid w:val="00C33327"/>
    <w:rsid w:val="00C540A8"/>
    <w:rsid w:val="00CC2DF2"/>
    <w:rsid w:val="00CE16BD"/>
    <w:rsid w:val="00CE388B"/>
    <w:rsid w:val="00CE74A8"/>
    <w:rsid w:val="00D26B49"/>
    <w:rsid w:val="00D30291"/>
    <w:rsid w:val="00D7383D"/>
    <w:rsid w:val="00D73D22"/>
    <w:rsid w:val="00D807EC"/>
    <w:rsid w:val="00D80B16"/>
    <w:rsid w:val="00D90E36"/>
    <w:rsid w:val="00DA4BFA"/>
    <w:rsid w:val="00DD01C1"/>
    <w:rsid w:val="00DF0CB6"/>
    <w:rsid w:val="00DF6203"/>
    <w:rsid w:val="00E14055"/>
    <w:rsid w:val="00E17125"/>
    <w:rsid w:val="00E336A6"/>
    <w:rsid w:val="00E51C6C"/>
    <w:rsid w:val="00E91ABD"/>
    <w:rsid w:val="00E939C0"/>
    <w:rsid w:val="00E96AF0"/>
    <w:rsid w:val="00EA0144"/>
    <w:rsid w:val="00EC53DB"/>
    <w:rsid w:val="00F1716E"/>
    <w:rsid w:val="00F172FF"/>
    <w:rsid w:val="00F24947"/>
    <w:rsid w:val="00F25029"/>
    <w:rsid w:val="00F26EF5"/>
    <w:rsid w:val="00F33226"/>
    <w:rsid w:val="00F637CF"/>
    <w:rsid w:val="00F6546E"/>
    <w:rsid w:val="00F74B6D"/>
    <w:rsid w:val="00F778DC"/>
    <w:rsid w:val="00F91AFD"/>
    <w:rsid w:val="00FA49E8"/>
    <w:rsid w:val="00FA6CA3"/>
    <w:rsid w:val="00FB4F22"/>
    <w:rsid w:val="00FC1D5A"/>
    <w:rsid w:val="00FD0862"/>
    <w:rsid w:val="00FE21BA"/>
    <w:rsid w:val="00FE4B03"/>
    <w:rsid w:val="00FE7581"/>
    <w:rsid w:val="06E17D3B"/>
    <w:rsid w:val="2D8165B1"/>
    <w:rsid w:val="335635F0"/>
    <w:rsid w:val="54C942C1"/>
    <w:rsid w:val="5B2630E4"/>
    <w:rsid w:val="64532A9C"/>
    <w:rsid w:val="67304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33"/>
    <w:qFormat/>
    <w:uiPriority w:val="1"/>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8"/>
    <w:unhideWhenUsed/>
    <w:qFormat/>
    <w:uiPriority w:val="9"/>
    <w:pPr>
      <w:keepNext/>
      <w:keepLines/>
      <w:spacing w:before="260" w:after="260" w:line="415" w:lineRule="auto"/>
      <w:outlineLvl w:val="1"/>
    </w:pPr>
    <w:rPr>
      <w:rFonts w:asciiTheme="majorHAnsi" w:hAnsiTheme="majorHAnsi" w:eastAsiaTheme="majorEastAsia" w:cstheme="majorBidi"/>
      <w:b/>
      <w:bCs/>
      <w:sz w:val="32"/>
      <w:szCs w:val="32"/>
    </w:rPr>
  </w:style>
  <w:style w:type="paragraph" w:styleId="4">
    <w:name w:val="heading 3"/>
    <w:basedOn w:val="1"/>
    <w:next w:val="1"/>
    <w:link w:val="29"/>
    <w:semiHidden/>
    <w:unhideWhenUsed/>
    <w:qFormat/>
    <w:uiPriority w:val="0"/>
    <w:pPr>
      <w:keepNext/>
      <w:keepLines/>
      <w:spacing w:before="260" w:after="260" w:line="412" w:lineRule="auto"/>
      <w:outlineLvl w:val="2"/>
    </w:pPr>
    <w:rPr>
      <w:rFonts w:cs="宋体" w:asciiTheme="minorHAnsi" w:hAnsiTheme="minorHAnsi" w:eastAsiaTheme="minorEastAsia"/>
      <w:b/>
      <w:sz w:val="32"/>
    </w:rPr>
  </w:style>
  <w:style w:type="paragraph" w:styleId="5">
    <w:name w:val="heading 4"/>
    <w:basedOn w:val="1"/>
    <w:next w:val="1"/>
    <w:link w:val="3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0"/>
    <w:unhideWhenUsed/>
    <w:qFormat/>
    <w:uiPriority w:val="0"/>
    <w:pPr>
      <w:jc w:val="left"/>
    </w:pPr>
  </w:style>
  <w:style w:type="paragraph" w:styleId="7">
    <w:name w:val="Body Text"/>
    <w:basedOn w:val="1"/>
    <w:link w:val="23"/>
    <w:qFormat/>
    <w:uiPriority w:val="1"/>
    <w:pPr>
      <w:autoSpaceDE w:val="0"/>
      <w:autoSpaceDN w:val="0"/>
      <w:adjustRightInd w:val="0"/>
      <w:spacing w:before="7"/>
      <w:ind w:left="1607"/>
      <w:jc w:val="left"/>
    </w:pPr>
    <w:rPr>
      <w:rFonts w:ascii="宋体" w:hAnsi="Times New Roman" w:eastAsia="宋体" w:cs="宋体"/>
      <w:kern w:val="0"/>
      <w:sz w:val="30"/>
      <w:szCs w:val="30"/>
    </w:rPr>
  </w:style>
  <w:style w:type="paragraph" w:styleId="8">
    <w:name w:val="Date"/>
    <w:basedOn w:val="1"/>
    <w:next w:val="1"/>
    <w:link w:val="35"/>
    <w:semiHidden/>
    <w:unhideWhenUsed/>
    <w:qFormat/>
    <w:uiPriority w:val="99"/>
    <w:pPr>
      <w:ind w:left="100" w:leftChars="2500"/>
    </w:pPr>
    <w:rPr>
      <w:rFonts w:asciiTheme="minorHAnsi" w:hAnsiTheme="minorHAnsi" w:eastAsiaTheme="minorEastAsia" w:cstheme="minorBidi"/>
    </w:rPr>
  </w:style>
  <w:style w:type="paragraph" w:styleId="9">
    <w:name w:val="Balloon Text"/>
    <w:basedOn w:val="1"/>
    <w:link w:val="26"/>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jc w:val="left"/>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itle"/>
    <w:basedOn w:val="1"/>
    <w:link w:val="25"/>
    <w:qFormat/>
    <w:uiPriority w:val="1"/>
    <w:pPr>
      <w:autoSpaceDE w:val="0"/>
      <w:autoSpaceDN w:val="0"/>
      <w:spacing w:before="213"/>
      <w:ind w:left="587" w:right="614"/>
      <w:jc w:val="center"/>
    </w:pPr>
    <w:rPr>
      <w:rFonts w:ascii="宋体" w:hAnsi="宋体" w:eastAsia="宋体" w:cs="宋体"/>
      <w:b/>
      <w:bCs/>
      <w:kern w:val="0"/>
      <w:sz w:val="44"/>
      <w:szCs w:val="44"/>
    </w:rPr>
  </w:style>
  <w:style w:type="paragraph" w:styleId="13">
    <w:name w:val="annotation subject"/>
    <w:basedOn w:val="6"/>
    <w:next w:val="6"/>
    <w:link w:val="31"/>
    <w:semiHidden/>
    <w:unhideWhenUsed/>
    <w:qFormat/>
    <w:uiPriority w:val="99"/>
    <w:rPr>
      <w:b/>
      <w:bCs/>
    </w:rPr>
  </w:style>
  <w:style w:type="table" w:styleId="15">
    <w:name w:val="Table Grid"/>
    <w:basedOn w:val="14"/>
    <w:qFormat/>
    <w:uiPriority w:val="5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Emphasis"/>
    <w:basedOn w:val="16"/>
    <w:qFormat/>
    <w:uiPriority w:val="20"/>
    <w:rPr>
      <w:i/>
      <w:iCs/>
    </w:rPr>
  </w:style>
  <w:style w:type="character" w:styleId="19">
    <w:name w:val="Hyperlink"/>
    <w:basedOn w:val="16"/>
    <w:unhideWhenUsed/>
    <w:qFormat/>
    <w:uiPriority w:val="99"/>
    <w:rPr>
      <w:color w:val="0563C1" w:themeColor="hyperlink"/>
      <w:u w:val="single"/>
      <w14:textFill>
        <w14:solidFill>
          <w14:schemeClr w14:val="hlink"/>
        </w14:solidFill>
      </w14:textFill>
    </w:rPr>
  </w:style>
  <w:style w:type="character" w:styleId="20">
    <w:name w:val="annotation reference"/>
    <w:basedOn w:val="16"/>
    <w:unhideWhenUsed/>
    <w:qFormat/>
    <w:uiPriority w:val="0"/>
    <w:rPr>
      <w:sz w:val="21"/>
      <w:szCs w:val="21"/>
    </w:rPr>
  </w:style>
  <w:style w:type="character" w:customStyle="1" w:styleId="21">
    <w:name w:val="页眉 Char"/>
    <w:link w:val="11"/>
    <w:qFormat/>
    <w:uiPriority w:val="99"/>
    <w:rPr>
      <w:sz w:val="18"/>
      <w:szCs w:val="18"/>
    </w:rPr>
  </w:style>
  <w:style w:type="character" w:customStyle="1" w:styleId="22">
    <w:name w:val="页脚 Char"/>
    <w:link w:val="10"/>
    <w:qFormat/>
    <w:uiPriority w:val="99"/>
    <w:rPr>
      <w:sz w:val="18"/>
      <w:szCs w:val="18"/>
    </w:rPr>
  </w:style>
  <w:style w:type="character" w:customStyle="1" w:styleId="23">
    <w:name w:val="正文文本 Char"/>
    <w:link w:val="7"/>
    <w:qFormat/>
    <w:uiPriority w:val="1"/>
    <w:rPr>
      <w:rFonts w:ascii="宋体" w:hAnsi="Times New Roman" w:eastAsia="宋体" w:cs="宋体"/>
      <w:kern w:val="0"/>
      <w:sz w:val="30"/>
      <w:szCs w:val="30"/>
    </w:rPr>
  </w:style>
  <w:style w:type="paragraph" w:customStyle="1" w:styleId="24">
    <w:name w:val="列表段落1"/>
    <w:basedOn w:val="1"/>
    <w:qFormat/>
    <w:uiPriority w:val="34"/>
    <w:pPr>
      <w:ind w:firstLine="420" w:firstLineChars="200"/>
    </w:pPr>
    <w:rPr>
      <w:rFonts w:ascii="Times New Roman" w:hAnsi="Times New Roman" w:eastAsia="宋体" w:cs="黑体"/>
    </w:rPr>
  </w:style>
  <w:style w:type="character" w:customStyle="1" w:styleId="25">
    <w:name w:val="标题 Char"/>
    <w:link w:val="12"/>
    <w:qFormat/>
    <w:uiPriority w:val="1"/>
    <w:rPr>
      <w:rFonts w:ascii="宋体" w:hAnsi="宋体" w:eastAsia="宋体" w:cs="宋体"/>
      <w:b/>
      <w:bCs/>
      <w:kern w:val="0"/>
      <w:sz w:val="44"/>
      <w:szCs w:val="44"/>
    </w:rPr>
  </w:style>
  <w:style w:type="character" w:customStyle="1" w:styleId="26">
    <w:name w:val="批注框文本 Char"/>
    <w:basedOn w:val="16"/>
    <w:link w:val="9"/>
    <w:semiHidden/>
    <w:qFormat/>
    <w:uiPriority w:val="99"/>
    <w:rPr>
      <w:kern w:val="2"/>
      <w:sz w:val="18"/>
      <w:szCs w:val="18"/>
    </w:rPr>
  </w:style>
  <w:style w:type="paragraph" w:styleId="27">
    <w:name w:val="List Paragraph"/>
    <w:basedOn w:val="1"/>
    <w:qFormat/>
    <w:uiPriority w:val="34"/>
    <w:pPr>
      <w:ind w:firstLine="420" w:firstLineChars="200"/>
    </w:pPr>
  </w:style>
  <w:style w:type="character" w:customStyle="1" w:styleId="28">
    <w:name w:val="标题 2 Char"/>
    <w:basedOn w:val="16"/>
    <w:link w:val="3"/>
    <w:qFormat/>
    <w:uiPriority w:val="9"/>
    <w:rPr>
      <w:rFonts w:asciiTheme="majorHAnsi" w:hAnsiTheme="majorHAnsi" w:eastAsiaTheme="majorEastAsia" w:cstheme="majorBidi"/>
      <w:b/>
      <w:bCs/>
      <w:kern w:val="2"/>
      <w:sz w:val="32"/>
      <w:szCs w:val="32"/>
    </w:rPr>
  </w:style>
  <w:style w:type="character" w:customStyle="1" w:styleId="29">
    <w:name w:val="标题 3 Char"/>
    <w:basedOn w:val="16"/>
    <w:link w:val="4"/>
    <w:semiHidden/>
    <w:qFormat/>
    <w:uiPriority w:val="0"/>
    <w:rPr>
      <w:rFonts w:cs="宋体" w:asciiTheme="minorHAnsi" w:hAnsiTheme="minorHAnsi" w:eastAsiaTheme="minorEastAsia"/>
      <w:b/>
      <w:kern w:val="2"/>
      <w:sz w:val="32"/>
      <w:szCs w:val="22"/>
    </w:rPr>
  </w:style>
  <w:style w:type="character" w:customStyle="1" w:styleId="30">
    <w:name w:val="批注文字 Char"/>
    <w:basedOn w:val="16"/>
    <w:link w:val="6"/>
    <w:qFormat/>
    <w:uiPriority w:val="0"/>
    <w:rPr>
      <w:kern w:val="2"/>
      <w:sz w:val="21"/>
      <w:szCs w:val="22"/>
    </w:rPr>
  </w:style>
  <w:style w:type="character" w:customStyle="1" w:styleId="31">
    <w:name w:val="批注主题 Char"/>
    <w:basedOn w:val="30"/>
    <w:link w:val="13"/>
    <w:semiHidden/>
    <w:qFormat/>
    <w:uiPriority w:val="99"/>
    <w:rPr>
      <w:b/>
      <w:bCs/>
      <w:kern w:val="2"/>
      <w:sz w:val="21"/>
      <w:szCs w:val="22"/>
    </w:rPr>
  </w:style>
  <w:style w:type="paragraph" w:customStyle="1" w:styleId="32">
    <w:name w:val="Revision"/>
    <w:hidden/>
    <w:semiHidden/>
    <w:qFormat/>
    <w:uiPriority w:val="99"/>
    <w:rPr>
      <w:rFonts w:ascii="等线" w:hAnsi="等线" w:eastAsia="等线" w:cs="Times New Roman"/>
      <w:kern w:val="2"/>
      <w:sz w:val="21"/>
      <w:szCs w:val="22"/>
      <w:lang w:val="en-US" w:eastAsia="zh-CN" w:bidi="ar-SA"/>
    </w:rPr>
  </w:style>
  <w:style w:type="character" w:customStyle="1" w:styleId="33">
    <w:name w:val="标题 1 Char"/>
    <w:basedOn w:val="16"/>
    <w:link w:val="2"/>
    <w:qFormat/>
    <w:uiPriority w:val="1"/>
    <w:rPr>
      <w:rFonts w:asciiTheme="minorHAnsi" w:hAnsiTheme="minorHAnsi" w:eastAsiaTheme="minorEastAsia" w:cstheme="minorBidi"/>
      <w:b/>
      <w:bCs/>
      <w:kern w:val="44"/>
      <w:sz w:val="44"/>
      <w:szCs w:val="44"/>
    </w:rPr>
  </w:style>
  <w:style w:type="character" w:customStyle="1" w:styleId="34">
    <w:name w:val="标题 4 Char"/>
    <w:basedOn w:val="16"/>
    <w:link w:val="5"/>
    <w:semiHidden/>
    <w:qFormat/>
    <w:uiPriority w:val="9"/>
    <w:rPr>
      <w:rFonts w:asciiTheme="majorHAnsi" w:hAnsiTheme="majorHAnsi" w:eastAsiaTheme="majorEastAsia" w:cstheme="majorBidi"/>
      <w:b/>
      <w:bCs/>
      <w:kern w:val="2"/>
      <w:sz w:val="28"/>
      <w:szCs w:val="28"/>
    </w:rPr>
  </w:style>
  <w:style w:type="character" w:customStyle="1" w:styleId="35">
    <w:name w:val="日期 Char"/>
    <w:basedOn w:val="16"/>
    <w:link w:val="8"/>
    <w:semiHidden/>
    <w:qFormat/>
    <w:uiPriority w:val="99"/>
    <w:rPr>
      <w:rFonts w:asciiTheme="minorHAnsi" w:hAnsiTheme="minorHAnsi" w:eastAsiaTheme="minorEastAsia" w:cstheme="minorBidi"/>
      <w:kern w:val="2"/>
      <w:sz w:val="21"/>
      <w:szCs w:val="22"/>
    </w:rPr>
  </w:style>
  <w:style w:type="paragraph" w:customStyle="1" w:styleId="36">
    <w:name w:val="列出段落1"/>
    <w:basedOn w:val="1"/>
    <w:qFormat/>
    <w:uiPriority w:val="0"/>
    <w:pPr>
      <w:ind w:firstLine="420" w:firstLineChars="200"/>
    </w:pPr>
    <w:rPr>
      <w:rFonts w:ascii="Calibri" w:hAnsi="Calibri" w:eastAsia="宋体"/>
    </w:rPr>
  </w:style>
  <w:style w:type="paragraph" w:customStyle="1" w:styleId="37">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38">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9">
    <w:name w:val="正文格式"/>
    <w:basedOn w:val="1"/>
    <w:link w:val="40"/>
    <w:qFormat/>
    <w:uiPriority w:val="0"/>
    <w:pPr>
      <w:spacing w:line="360" w:lineRule="auto"/>
      <w:ind w:firstLine="480" w:firstLineChars="200"/>
    </w:pPr>
    <w:rPr>
      <w:rFonts w:asciiTheme="minorEastAsia" w:hAnsiTheme="minorEastAsia" w:eastAsiaTheme="minorEastAsia" w:cstheme="minorBidi"/>
      <w:sz w:val="24"/>
      <w:szCs w:val="24"/>
    </w:rPr>
  </w:style>
  <w:style w:type="character" w:customStyle="1" w:styleId="40">
    <w:name w:val="正文格式 Char2"/>
    <w:basedOn w:val="16"/>
    <w:link w:val="39"/>
    <w:qFormat/>
    <w:uiPriority w:val="0"/>
    <w:rPr>
      <w:rFonts w:asciiTheme="minorEastAsia" w:hAnsiTheme="minorEastAsia" w:eastAsiaTheme="minorEastAsia" w:cstheme="minorBidi"/>
      <w:kern w:val="2"/>
      <w:sz w:val="24"/>
      <w:szCs w:val="24"/>
    </w:rPr>
  </w:style>
  <w:style w:type="paragraph" w:customStyle="1" w:styleId="41">
    <w:name w:val="标题3"/>
    <w:basedOn w:val="1"/>
    <w:link w:val="44"/>
    <w:qFormat/>
    <w:uiPriority w:val="0"/>
    <w:pPr>
      <w:keepNext/>
      <w:keepLines/>
      <w:spacing w:line="360" w:lineRule="auto"/>
      <w:ind w:firstLine="480" w:firstLineChars="200"/>
      <w:outlineLvl w:val="2"/>
    </w:pPr>
    <w:rPr>
      <w:rFonts w:asciiTheme="majorEastAsia" w:hAnsiTheme="majorEastAsia" w:eastAsiaTheme="majorEastAsia" w:cstheme="minorBidi"/>
      <w:bCs/>
      <w:sz w:val="24"/>
      <w:szCs w:val="24"/>
    </w:rPr>
  </w:style>
  <w:style w:type="paragraph" w:customStyle="1" w:styleId="42">
    <w:name w:val="图"/>
    <w:basedOn w:val="1"/>
    <w:link w:val="43"/>
    <w:qFormat/>
    <w:uiPriority w:val="0"/>
    <w:pPr>
      <w:spacing w:after="312"/>
      <w:jc w:val="center"/>
    </w:pPr>
    <w:rPr>
      <w:rFonts w:asciiTheme="minorHAnsi" w:hAnsiTheme="minorHAnsi" w:eastAsiaTheme="minorEastAsia" w:cstheme="minorBidi"/>
    </w:rPr>
  </w:style>
  <w:style w:type="character" w:customStyle="1" w:styleId="43">
    <w:name w:val="图 Char"/>
    <w:basedOn w:val="16"/>
    <w:link w:val="42"/>
    <w:qFormat/>
    <w:uiPriority w:val="0"/>
    <w:rPr>
      <w:rFonts w:asciiTheme="minorHAnsi" w:hAnsiTheme="minorHAnsi" w:eastAsiaTheme="minorEastAsia" w:cstheme="minorBidi"/>
      <w:kern w:val="2"/>
      <w:sz w:val="21"/>
      <w:szCs w:val="22"/>
    </w:rPr>
  </w:style>
  <w:style w:type="character" w:customStyle="1" w:styleId="44">
    <w:name w:val="标题3 Char"/>
    <w:basedOn w:val="16"/>
    <w:link w:val="41"/>
    <w:qFormat/>
    <w:uiPriority w:val="0"/>
    <w:rPr>
      <w:rFonts w:asciiTheme="majorEastAsia" w:hAnsiTheme="majorEastAsia" w:eastAsiaTheme="majorEastAsia" w:cstheme="minorBidi"/>
      <w:bCs/>
      <w:kern w:val="2"/>
      <w:sz w:val="24"/>
      <w:szCs w:val="24"/>
    </w:rPr>
  </w:style>
  <w:style w:type="paragraph" w:customStyle="1" w:styleId="45">
    <w:name w:val="表"/>
    <w:basedOn w:val="1"/>
    <w:link w:val="46"/>
    <w:qFormat/>
    <w:uiPriority w:val="0"/>
    <w:pPr>
      <w:adjustRightInd w:val="0"/>
      <w:snapToGrid w:val="0"/>
      <w:spacing w:beforeLines="50"/>
      <w:ind w:firstLine="420"/>
      <w:jc w:val="center"/>
    </w:pPr>
    <w:rPr>
      <w:rFonts w:ascii="宋体" w:hAnsi="宋体" w:eastAsia="宋体" w:cstheme="minorBidi"/>
      <w:bCs/>
      <w:color w:val="000000" w:themeColor="text1"/>
      <w:szCs w:val="21"/>
      <w14:textFill>
        <w14:solidFill>
          <w14:schemeClr w14:val="tx1"/>
        </w14:solidFill>
      </w14:textFill>
    </w:rPr>
  </w:style>
  <w:style w:type="character" w:customStyle="1" w:styleId="46">
    <w:name w:val="表 Char1"/>
    <w:basedOn w:val="16"/>
    <w:link w:val="45"/>
    <w:qFormat/>
    <w:uiPriority w:val="0"/>
    <w:rPr>
      <w:rFonts w:ascii="宋体" w:hAnsi="宋体" w:eastAsia="宋体" w:cstheme="minorBidi"/>
      <w:bCs/>
      <w:color w:val="000000" w:themeColor="text1"/>
      <w:kern w:val="2"/>
      <w:sz w:val="21"/>
      <w:szCs w:val="21"/>
      <w14:textFill>
        <w14:solidFill>
          <w14:schemeClr w14:val="tx1"/>
        </w14:solidFill>
      </w14:textFill>
    </w:rPr>
  </w:style>
  <w:style w:type="character" w:styleId="47">
    <w:name w:val="Placeholder Text"/>
    <w:basedOn w:val="16"/>
    <w:semiHidden/>
    <w:qFormat/>
    <w:uiPriority w:val="99"/>
    <w:rPr>
      <w:color w:val="808080"/>
    </w:rPr>
  </w:style>
  <w:style w:type="character" w:customStyle="1" w:styleId="48">
    <w:name w:val="ask-title2"/>
    <w:basedOn w:val="16"/>
    <w:qFormat/>
    <w:uiPriority w:val="0"/>
  </w:style>
  <w:style w:type="paragraph" w:customStyle="1" w:styleId="49">
    <w:name w:val="修订2"/>
    <w:hidden/>
    <w:semiHidden/>
    <w:qFormat/>
    <w:uiPriority w:val="99"/>
    <w:rPr>
      <w:rFonts w:asciiTheme="minorHAnsi" w:hAnsiTheme="minorHAnsi" w:eastAsiaTheme="minorEastAsia" w:cstheme="minorBidi"/>
      <w:sz w:val="22"/>
      <w:szCs w:val="22"/>
      <w:lang w:val="en-US" w:eastAsia="en-US" w:bidi="ar-SA"/>
    </w:rPr>
  </w:style>
  <w:style w:type="table" w:customStyle="1" w:styleId="50">
    <w:name w:val="清单表 3 - 着色 21"/>
    <w:basedOn w:val="14"/>
    <w:qFormat/>
    <w:uiPriority w:val="48"/>
    <w:rPr>
      <w:rFonts w:ascii="Times New Roman" w:hAnsi="Times New Roman" w:eastAsia="宋体"/>
    </w:rPr>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51">
    <w:name w:val="网格型1"/>
    <w:basedOn w:val="14"/>
    <w:qFormat/>
    <w:uiPriority w:val="3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1177F-228B-4DCC-81D9-03B59B7C11A8}">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21</Pages>
  <Words>9371</Words>
  <Characters>10917</Characters>
  <Lines>84</Lines>
  <Paragraphs>23</Paragraphs>
  <TotalTime>2</TotalTime>
  <ScaleCrop>false</ScaleCrop>
  <LinksUpToDate>false</LinksUpToDate>
  <CharactersWithSpaces>10997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2023-05-02T13:45:00Z</dcterms:created>
  <dc:creator>84161277@qq.com</dc:creator>
  <cp:lastModifiedBy>liang</cp:lastModifiedBy>
  <dcterms:modified xsi:type="dcterms:W3CDTF">2023-09-06T06:49:30Z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19183356FBFC4A51913149A50331D435_13</vt:lpwstr>
  </property>
</Properties>
</file>